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2228" w14:textId="4E59D33A" w:rsidR="006E0A53" w:rsidRDefault="007F180F" w:rsidP="007E1BEF">
      <w:pPr>
        <w:spacing w:line="276" w:lineRule="auto"/>
        <w:ind w:left="708" w:hanging="708"/>
        <w:rPr>
          <w:rFonts w:ascii="Century Gothic" w:hAnsi="Century Gothic" w:cstheme="minorHAnsi"/>
          <w:b/>
          <w:sz w:val="20"/>
          <w:szCs w:val="20"/>
        </w:rPr>
      </w:pPr>
      <w:r>
        <w:rPr>
          <w:rFonts w:ascii="Century Gothic" w:hAnsi="Century Gothic" w:cstheme="minorHAnsi"/>
          <w:b/>
          <w:sz w:val="20"/>
          <w:szCs w:val="20"/>
        </w:rPr>
        <w:t xml:space="preserve"> </w:t>
      </w:r>
    </w:p>
    <w:p w14:paraId="2934F8F6" w14:textId="77777777" w:rsidR="006E0A53" w:rsidRPr="006E0A53" w:rsidRDefault="006E0A53" w:rsidP="005F7723">
      <w:pPr>
        <w:spacing w:line="276" w:lineRule="auto"/>
        <w:jc w:val="center"/>
        <w:rPr>
          <w:rFonts w:ascii="Century Gothic" w:hAnsi="Century Gothic" w:cstheme="minorHAnsi"/>
          <w:b/>
          <w:sz w:val="16"/>
          <w:szCs w:val="20"/>
        </w:rPr>
      </w:pPr>
    </w:p>
    <w:p w14:paraId="32517FC1" w14:textId="57567929" w:rsidR="006E0A53" w:rsidRPr="00F87D44" w:rsidRDefault="006E0A53" w:rsidP="006E0A53">
      <w:pPr>
        <w:spacing w:line="276" w:lineRule="auto"/>
        <w:jc w:val="center"/>
        <w:rPr>
          <w:rFonts w:ascii="Century Gothic" w:hAnsi="Century Gothic" w:cstheme="minorHAnsi"/>
          <w:b/>
          <w:color w:val="2F5496" w:themeColor="accent1" w:themeShade="BF"/>
          <w:sz w:val="22"/>
          <w:szCs w:val="22"/>
        </w:rPr>
      </w:pPr>
      <w:r w:rsidRPr="00F87D44">
        <w:rPr>
          <w:rFonts w:ascii="Century Gothic" w:hAnsi="Century Gothic" w:cstheme="minorHAnsi"/>
          <w:b/>
          <w:color w:val="2F5496" w:themeColor="accent1" w:themeShade="BF"/>
          <w:sz w:val="22"/>
          <w:szCs w:val="22"/>
        </w:rPr>
        <w:t>METODOLOGÍA EVEN</w:t>
      </w:r>
      <w:r w:rsidR="00D54BFD">
        <w:rPr>
          <w:rFonts w:ascii="Century Gothic" w:hAnsi="Century Gothic" w:cstheme="minorHAnsi"/>
          <w:b/>
          <w:color w:val="2F5496" w:themeColor="accent1" w:themeShade="BF"/>
          <w:sz w:val="22"/>
          <w:szCs w:val="22"/>
        </w:rPr>
        <w:t xml:space="preserve">TO DE DELIBERACIÓN PÚBLICA </w:t>
      </w:r>
    </w:p>
    <w:p w14:paraId="36B919B9" w14:textId="3045A58A" w:rsidR="001F38A1" w:rsidRPr="00D54BFD" w:rsidRDefault="006E0A53" w:rsidP="00D54BFD">
      <w:pPr>
        <w:spacing w:line="276" w:lineRule="auto"/>
        <w:jc w:val="center"/>
        <w:rPr>
          <w:rFonts w:ascii="Century Gothic" w:hAnsi="Century Gothic" w:cstheme="minorHAnsi"/>
          <w:b/>
          <w:color w:val="2F5496" w:themeColor="accent1" w:themeShade="BF"/>
          <w:sz w:val="22"/>
          <w:szCs w:val="22"/>
        </w:rPr>
      </w:pPr>
      <w:r w:rsidRPr="00F87D44">
        <w:rPr>
          <w:rFonts w:ascii="Century Gothic" w:hAnsi="Century Gothic" w:cstheme="minorHAnsi"/>
          <w:b/>
          <w:color w:val="2F5496" w:themeColor="accent1" w:themeShade="BF"/>
          <w:sz w:val="22"/>
          <w:szCs w:val="22"/>
        </w:rPr>
        <w:t>GOBIERNO AUTÓNOMO DESCENTRALIZADO DEL DISTRITO METROPOLITANO DE QUITO</w:t>
      </w:r>
      <w:r w:rsidR="00D54BFD">
        <w:rPr>
          <w:rFonts w:ascii="Century Gothic" w:hAnsi="Century Gothic" w:cstheme="minorHAnsi"/>
          <w:b/>
          <w:color w:val="2F5496" w:themeColor="accent1" w:themeShade="BF"/>
          <w:sz w:val="22"/>
          <w:szCs w:val="22"/>
        </w:rPr>
        <w:t xml:space="preserve"> GESTIÓN 2023</w:t>
      </w:r>
    </w:p>
    <w:p w14:paraId="6991A544" w14:textId="7FB76A16" w:rsidR="00120AB7" w:rsidRPr="00CF43F6" w:rsidRDefault="00120AB7" w:rsidP="00530DC7">
      <w:pPr>
        <w:pStyle w:val="Ttulo1"/>
        <w:numPr>
          <w:ilvl w:val="0"/>
          <w:numId w:val="18"/>
        </w:numPr>
        <w:rPr>
          <w:rFonts w:ascii="Century Gothic" w:hAnsi="Century Gothic"/>
          <w:sz w:val="20"/>
          <w:szCs w:val="20"/>
        </w:rPr>
      </w:pPr>
      <w:bookmarkStart w:id="0" w:name="_Toc165565927"/>
      <w:r w:rsidRPr="00CF43F6">
        <w:rPr>
          <w:rFonts w:ascii="Century Gothic" w:hAnsi="Century Gothic"/>
          <w:sz w:val="20"/>
          <w:szCs w:val="20"/>
        </w:rPr>
        <w:t>ANTECEDENTES</w:t>
      </w:r>
      <w:bookmarkEnd w:id="0"/>
    </w:p>
    <w:p w14:paraId="33CC32FF" w14:textId="3BCD3F6C" w:rsidR="00120AB7" w:rsidRPr="00CF43F6" w:rsidRDefault="00120AB7" w:rsidP="005F7723">
      <w:pPr>
        <w:spacing w:line="276" w:lineRule="auto"/>
        <w:rPr>
          <w:rFonts w:ascii="Century Gothic" w:hAnsi="Century Gothic" w:cstheme="minorHAnsi"/>
          <w:b/>
          <w:sz w:val="20"/>
          <w:szCs w:val="20"/>
        </w:rPr>
      </w:pPr>
    </w:p>
    <w:p w14:paraId="060E8B5F" w14:textId="7A98A05E" w:rsidR="00EC5BF6" w:rsidRDefault="00EC5BF6" w:rsidP="005F7723">
      <w:p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Con memorando</w:t>
      </w:r>
      <w:r w:rsidR="00E435AB" w:rsidRPr="00CF43F6">
        <w:rPr>
          <w:rFonts w:ascii="Century Gothic" w:hAnsi="Century Gothic" w:cstheme="minorHAnsi"/>
          <w:sz w:val="20"/>
          <w:szCs w:val="20"/>
        </w:rPr>
        <w:t xml:space="preserve"> Nro. GADDMQ-AM-2023-0034-</w:t>
      </w:r>
      <w:r w:rsidRPr="00CF43F6">
        <w:rPr>
          <w:rFonts w:ascii="Century Gothic" w:hAnsi="Century Gothic" w:cstheme="minorHAnsi"/>
          <w:sz w:val="20"/>
          <w:szCs w:val="20"/>
        </w:rPr>
        <w:t>ME del 13 de diciembre de 2023, el señor</w:t>
      </w:r>
      <w:r w:rsidR="00E435AB" w:rsidRPr="00CF43F6">
        <w:rPr>
          <w:rFonts w:ascii="Century Gothic" w:hAnsi="Century Gothic" w:cstheme="minorHAnsi"/>
          <w:sz w:val="20"/>
          <w:szCs w:val="20"/>
        </w:rPr>
        <w:t xml:space="preserve"> Alcalde</w:t>
      </w:r>
      <w:r w:rsidRPr="00CF43F6">
        <w:rPr>
          <w:rFonts w:ascii="Century Gothic" w:hAnsi="Century Gothic" w:cstheme="minorHAnsi"/>
          <w:sz w:val="20"/>
          <w:szCs w:val="20"/>
        </w:rPr>
        <w:t xml:space="preserve"> del Distrito Metropolitano de Quito, Pabel Muñoz</w:t>
      </w:r>
      <w:r w:rsidR="00E435AB" w:rsidRPr="00CF43F6">
        <w:rPr>
          <w:rFonts w:ascii="Century Gothic" w:hAnsi="Century Gothic" w:cstheme="minorHAnsi"/>
          <w:sz w:val="20"/>
          <w:szCs w:val="20"/>
        </w:rPr>
        <w:t xml:space="preserve"> </w:t>
      </w:r>
      <w:r w:rsidR="00D67058">
        <w:rPr>
          <w:rFonts w:ascii="Century Gothic" w:hAnsi="Century Gothic" w:cstheme="minorHAnsi"/>
          <w:sz w:val="20"/>
          <w:szCs w:val="20"/>
        </w:rPr>
        <w:t xml:space="preserve">López, </w:t>
      </w:r>
      <w:r w:rsidR="00E435AB" w:rsidRPr="00CF43F6">
        <w:rPr>
          <w:rFonts w:ascii="Century Gothic" w:hAnsi="Century Gothic" w:cstheme="minorHAnsi"/>
          <w:sz w:val="20"/>
          <w:szCs w:val="20"/>
        </w:rPr>
        <w:t>designa al equipo encargado para el proceso de rendici</w:t>
      </w:r>
      <w:r w:rsidR="00D67058">
        <w:rPr>
          <w:rFonts w:ascii="Century Gothic" w:hAnsi="Century Gothic" w:cstheme="minorHAnsi"/>
          <w:sz w:val="20"/>
          <w:szCs w:val="20"/>
        </w:rPr>
        <w:t>ón de cuentas del GAD</w:t>
      </w:r>
      <w:r w:rsidR="00E52776" w:rsidRPr="00CF43F6">
        <w:rPr>
          <w:rFonts w:ascii="Century Gothic" w:hAnsi="Century Gothic" w:cstheme="minorHAnsi"/>
          <w:sz w:val="20"/>
          <w:szCs w:val="20"/>
        </w:rPr>
        <w:t>DMQ, do</w:t>
      </w:r>
      <w:r w:rsidR="00E435AB" w:rsidRPr="00CF43F6">
        <w:rPr>
          <w:rFonts w:ascii="Century Gothic" w:hAnsi="Century Gothic" w:cstheme="minorHAnsi"/>
          <w:sz w:val="20"/>
          <w:szCs w:val="20"/>
        </w:rPr>
        <w:t xml:space="preserve">nde esta Secretaría General de Coordinación Territorial Gobernabilidad y Participación es designada para liderar el proceso, así como la coordinación de actividades y la elaboración de la hoja de ruta y contacto con la Asamblea Ciudadana Local. </w:t>
      </w:r>
    </w:p>
    <w:p w14:paraId="3B3DEE39" w14:textId="1FB56678" w:rsidR="00235E95" w:rsidRDefault="00235E95" w:rsidP="005F7723">
      <w:pPr>
        <w:spacing w:line="276" w:lineRule="auto"/>
        <w:jc w:val="both"/>
        <w:rPr>
          <w:rFonts w:ascii="Century Gothic" w:hAnsi="Century Gothic" w:cstheme="minorHAnsi"/>
          <w:sz w:val="20"/>
          <w:szCs w:val="20"/>
        </w:rPr>
      </w:pPr>
    </w:p>
    <w:p w14:paraId="0D28C338" w14:textId="457340E3" w:rsidR="00937CBC" w:rsidRDefault="00937CBC" w:rsidP="00937CBC">
      <w:p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El 29 de diciembre de 2013, el señor </w:t>
      </w:r>
      <w:r w:rsidRPr="00937CBC">
        <w:rPr>
          <w:rFonts w:ascii="Century Gothic" w:hAnsi="Century Gothic" w:cstheme="minorHAnsi"/>
          <w:sz w:val="20"/>
          <w:szCs w:val="20"/>
        </w:rPr>
        <w:t>Rodrigo Edmundo Cáceres Sánchez</w:t>
      </w:r>
      <w:r>
        <w:rPr>
          <w:rFonts w:ascii="Century Gothic" w:hAnsi="Century Gothic" w:cstheme="minorHAnsi"/>
          <w:sz w:val="20"/>
          <w:szCs w:val="20"/>
        </w:rPr>
        <w:t xml:space="preserve">, Presidente de la Comisión Metropolitana de Lucha Contra la Corrupción, a través de </w:t>
      </w:r>
      <w:r w:rsidRPr="00937CBC">
        <w:rPr>
          <w:rFonts w:ascii="Century Gothic" w:hAnsi="Century Gothic" w:cstheme="minorHAnsi"/>
          <w:sz w:val="20"/>
          <w:szCs w:val="20"/>
        </w:rPr>
        <w:t>Oficio Nro. QH-PRE-2023-1519-O</w:t>
      </w:r>
      <w:r>
        <w:rPr>
          <w:rFonts w:ascii="Century Gothic" w:hAnsi="Century Gothic" w:cstheme="minorHAnsi"/>
          <w:sz w:val="20"/>
          <w:szCs w:val="20"/>
        </w:rPr>
        <w:t xml:space="preserve">, </w:t>
      </w:r>
      <w:r w:rsidRPr="00937CBC">
        <w:rPr>
          <w:rFonts w:ascii="Century Gothic" w:hAnsi="Century Gothic" w:cstheme="minorHAnsi"/>
          <w:sz w:val="20"/>
          <w:szCs w:val="20"/>
        </w:rPr>
        <w:t>realiza</w:t>
      </w:r>
      <w:r>
        <w:rPr>
          <w:rFonts w:ascii="Century Gothic" w:hAnsi="Century Gothic" w:cstheme="minorHAnsi"/>
          <w:sz w:val="20"/>
          <w:szCs w:val="20"/>
        </w:rPr>
        <w:t xml:space="preserve"> una serie de </w:t>
      </w:r>
      <w:r w:rsidRPr="00937CBC">
        <w:rPr>
          <w:rFonts w:ascii="Century Gothic" w:hAnsi="Century Gothic" w:cstheme="minorHAnsi"/>
          <w:sz w:val="20"/>
          <w:szCs w:val="20"/>
        </w:rPr>
        <w:t xml:space="preserve">sugerencias </w:t>
      </w:r>
      <w:r w:rsidR="00434CA7">
        <w:rPr>
          <w:rFonts w:ascii="Century Gothic" w:hAnsi="Century Gothic" w:cstheme="minorHAnsi"/>
          <w:sz w:val="20"/>
          <w:szCs w:val="20"/>
        </w:rPr>
        <w:t xml:space="preserve">y comparte varios documentos </w:t>
      </w:r>
      <w:r w:rsidRPr="00937CBC">
        <w:rPr>
          <w:rFonts w:ascii="Century Gothic" w:hAnsi="Century Gothic" w:cstheme="minorHAnsi"/>
          <w:sz w:val="20"/>
          <w:szCs w:val="20"/>
        </w:rPr>
        <w:t>para que los sujetos obligados del MDMQ anticipen</w:t>
      </w:r>
      <w:r>
        <w:rPr>
          <w:rFonts w:ascii="Century Gothic" w:hAnsi="Century Gothic" w:cstheme="minorHAnsi"/>
          <w:sz w:val="20"/>
          <w:szCs w:val="20"/>
        </w:rPr>
        <w:t xml:space="preserve"> </w:t>
      </w:r>
      <w:r w:rsidRPr="00937CBC">
        <w:rPr>
          <w:rFonts w:ascii="Century Gothic" w:hAnsi="Century Gothic" w:cstheme="minorHAnsi"/>
          <w:sz w:val="20"/>
          <w:szCs w:val="20"/>
        </w:rPr>
        <w:t>gestiones para la ejecución del proceso</w:t>
      </w:r>
      <w:r>
        <w:rPr>
          <w:rFonts w:ascii="Century Gothic" w:hAnsi="Century Gothic" w:cstheme="minorHAnsi"/>
          <w:sz w:val="20"/>
          <w:szCs w:val="20"/>
        </w:rPr>
        <w:t xml:space="preserve"> de rendición de cuentas correspondiente al período 2023. Quito Honesto es la institución </w:t>
      </w:r>
      <w:r w:rsidR="00434CA7">
        <w:rPr>
          <w:rFonts w:ascii="Century Gothic" w:hAnsi="Century Gothic" w:cstheme="minorHAnsi"/>
          <w:sz w:val="20"/>
          <w:szCs w:val="20"/>
        </w:rPr>
        <w:t xml:space="preserve">responsable de </w:t>
      </w:r>
      <w:r w:rsidRPr="00937CBC">
        <w:rPr>
          <w:rFonts w:ascii="Century Gothic" w:hAnsi="Century Gothic" w:cstheme="minorHAnsi"/>
          <w:sz w:val="20"/>
          <w:szCs w:val="20"/>
        </w:rPr>
        <w:t>verificar y dar seguimiento al cumplimiento de</w:t>
      </w:r>
      <w:r w:rsidR="00434CA7">
        <w:rPr>
          <w:rFonts w:ascii="Century Gothic" w:hAnsi="Century Gothic" w:cstheme="minorHAnsi"/>
          <w:sz w:val="20"/>
          <w:szCs w:val="20"/>
        </w:rPr>
        <w:t xml:space="preserve"> </w:t>
      </w:r>
      <w:r w:rsidRPr="00937CBC">
        <w:rPr>
          <w:rFonts w:ascii="Century Gothic" w:hAnsi="Century Gothic" w:cstheme="minorHAnsi"/>
          <w:sz w:val="20"/>
          <w:szCs w:val="20"/>
        </w:rPr>
        <w:t>las directrices en lo que tiene que ver con la rendición de cuentas</w:t>
      </w:r>
      <w:r w:rsidR="00434CA7">
        <w:rPr>
          <w:rFonts w:ascii="Century Gothic" w:hAnsi="Century Gothic" w:cstheme="minorHAnsi"/>
          <w:sz w:val="20"/>
          <w:szCs w:val="20"/>
        </w:rPr>
        <w:t>.</w:t>
      </w:r>
    </w:p>
    <w:p w14:paraId="7B63350A" w14:textId="633B7A28" w:rsidR="00937CBC" w:rsidRDefault="00937CBC" w:rsidP="005F7723">
      <w:pPr>
        <w:spacing w:line="276" w:lineRule="auto"/>
        <w:jc w:val="both"/>
        <w:rPr>
          <w:rFonts w:ascii="Century Gothic" w:hAnsi="Century Gothic" w:cstheme="minorHAnsi"/>
          <w:sz w:val="20"/>
          <w:szCs w:val="20"/>
        </w:rPr>
      </w:pPr>
    </w:p>
    <w:p w14:paraId="225C6AC3" w14:textId="7BE3B230" w:rsidR="00434CA7" w:rsidRPr="00434CA7" w:rsidRDefault="00434CA7" w:rsidP="00434CA7">
      <w:pPr>
        <w:spacing w:line="276" w:lineRule="auto"/>
        <w:jc w:val="both"/>
        <w:rPr>
          <w:rFonts w:ascii="Century Gothic" w:hAnsi="Century Gothic" w:cstheme="minorHAnsi"/>
          <w:sz w:val="20"/>
          <w:szCs w:val="20"/>
        </w:rPr>
      </w:pPr>
      <w:r w:rsidRPr="00434CA7">
        <w:rPr>
          <w:rFonts w:ascii="Century Gothic" w:hAnsi="Century Gothic" w:cstheme="minorHAnsi"/>
          <w:sz w:val="20"/>
          <w:szCs w:val="20"/>
        </w:rPr>
        <w:t>El 15 de enero de 2024, mediante Oficio Nro. GADDMQ-AM-2024-0047-OF, el Alcalde Pabel Muñoz López, establece una serie de sugerencias y comentarios sobre el proceso de rendición de cuentas 2023 para las Autoridades de elección popular del MDMQ</w:t>
      </w:r>
      <w:r>
        <w:rPr>
          <w:rFonts w:ascii="Century Gothic" w:hAnsi="Century Gothic" w:cstheme="minorHAnsi"/>
          <w:sz w:val="20"/>
          <w:szCs w:val="20"/>
        </w:rPr>
        <w:t>, y solicita considerar las recomendaciones e información remitida anteriormente por la Comisión Metropolitana de Lucha Contra la Corrupción</w:t>
      </w:r>
      <w:r w:rsidRPr="00434CA7">
        <w:rPr>
          <w:rFonts w:ascii="Century Gothic" w:hAnsi="Century Gothic" w:cstheme="minorHAnsi"/>
          <w:sz w:val="20"/>
          <w:szCs w:val="20"/>
        </w:rPr>
        <w:t>.</w:t>
      </w:r>
    </w:p>
    <w:p w14:paraId="7BCA4B2F" w14:textId="1AB3578B" w:rsidR="00434CA7" w:rsidRDefault="00434CA7" w:rsidP="005F7723">
      <w:pPr>
        <w:spacing w:line="276" w:lineRule="auto"/>
        <w:jc w:val="both"/>
        <w:rPr>
          <w:rFonts w:ascii="Century Gothic" w:hAnsi="Century Gothic" w:cstheme="minorHAnsi"/>
          <w:sz w:val="20"/>
          <w:szCs w:val="20"/>
        </w:rPr>
      </w:pPr>
    </w:p>
    <w:p w14:paraId="4C06E375" w14:textId="4C1EEAE9" w:rsidR="00120AB7" w:rsidRPr="00CF43F6" w:rsidRDefault="00E435AB" w:rsidP="005F7723">
      <w:p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Al respecto esta Secretaría ha generado varias actividades para dar cump</w:t>
      </w:r>
      <w:r w:rsidR="00EC5BF6" w:rsidRPr="00CF43F6">
        <w:rPr>
          <w:rFonts w:ascii="Century Gothic" w:hAnsi="Century Gothic" w:cstheme="minorHAnsi"/>
          <w:sz w:val="20"/>
          <w:szCs w:val="20"/>
        </w:rPr>
        <w:t>limiento a la designación del señor</w:t>
      </w:r>
      <w:r w:rsidRPr="00CF43F6">
        <w:rPr>
          <w:rFonts w:ascii="Century Gothic" w:hAnsi="Century Gothic" w:cstheme="minorHAnsi"/>
          <w:sz w:val="20"/>
          <w:szCs w:val="20"/>
        </w:rPr>
        <w:t xml:space="preserve"> Alcalde, con el siguiente detalle:</w:t>
      </w:r>
    </w:p>
    <w:p w14:paraId="1B195D5E" w14:textId="371FA8A7" w:rsidR="00120AB7" w:rsidRPr="00CF43F6" w:rsidRDefault="00120AB7" w:rsidP="005F7723">
      <w:pPr>
        <w:spacing w:line="276" w:lineRule="auto"/>
        <w:rPr>
          <w:rFonts w:ascii="Century Gothic" w:hAnsi="Century Gothic" w:cstheme="minorHAnsi"/>
          <w:b/>
          <w:sz w:val="20"/>
          <w:szCs w:val="20"/>
        </w:rPr>
      </w:pPr>
    </w:p>
    <w:p w14:paraId="592E7E14" w14:textId="390B05D2"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Con fecha 24 de enero de 2024 se realiza la primera reunión del equipo designado por el Sr. Alcalde, en la que participan la Secretaría General de Planificación (SGP), Secretaría de Comunicación (SECOM), Quito Honesto y esta Secretaría. En este espacio se coordinan acciones y se informa las actividades que deberán cumplir cada entidad de acuerdo a las fases establecidas en la </w:t>
      </w:r>
      <w:r w:rsidRPr="00D67058">
        <w:rPr>
          <w:rFonts w:ascii="Century Gothic" w:hAnsi="Century Gothic" w:cstheme="minorHAnsi"/>
          <w:sz w:val="20"/>
          <w:szCs w:val="20"/>
        </w:rPr>
        <w:t>Resolución No. CPCCS-PLE-SG-069-2021-476</w:t>
      </w:r>
      <w:r w:rsidR="00D67058">
        <w:rPr>
          <w:rFonts w:ascii="Century Gothic" w:hAnsi="Century Gothic" w:cstheme="minorHAnsi"/>
          <w:sz w:val="20"/>
          <w:szCs w:val="20"/>
        </w:rPr>
        <w:t xml:space="preserve">, Reglamento de Rendición de Cuentas, </w:t>
      </w:r>
      <w:r w:rsidRPr="00D67058">
        <w:rPr>
          <w:rFonts w:ascii="Century Gothic" w:hAnsi="Century Gothic" w:cstheme="minorHAnsi"/>
          <w:sz w:val="20"/>
          <w:szCs w:val="20"/>
        </w:rPr>
        <w:t>del</w:t>
      </w:r>
      <w:r w:rsidRPr="00CF43F6">
        <w:rPr>
          <w:rFonts w:ascii="Century Gothic" w:hAnsi="Century Gothic" w:cstheme="minorHAnsi"/>
          <w:sz w:val="20"/>
          <w:szCs w:val="20"/>
        </w:rPr>
        <w:t xml:space="preserve"> Consejo de Participación Ciudadana y Control Social.</w:t>
      </w:r>
    </w:p>
    <w:p w14:paraId="67A7B129" w14:textId="2B9F776D" w:rsidR="00E435AB" w:rsidRPr="00CF43F6" w:rsidRDefault="00D97B88" w:rsidP="005F7723">
      <w:pPr>
        <w:pStyle w:val="Prrafodelista"/>
        <w:numPr>
          <w:ilvl w:val="0"/>
          <w:numId w:val="9"/>
        </w:numPr>
        <w:spacing w:after="0" w:line="276" w:lineRule="auto"/>
        <w:jc w:val="both"/>
        <w:rPr>
          <w:rFonts w:ascii="Century Gothic" w:hAnsi="Century Gothic" w:cstheme="minorHAnsi"/>
          <w:sz w:val="20"/>
          <w:szCs w:val="20"/>
        </w:rPr>
      </w:pPr>
      <w:r>
        <w:rPr>
          <w:rFonts w:ascii="Century Gothic" w:hAnsi="Century Gothic" w:cstheme="minorHAnsi"/>
          <w:sz w:val="20"/>
          <w:szCs w:val="20"/>
        </w:rPr>
        <w:t>E</w:t>
      </w:r>
      <w:r w:rsidR="00E435AB" w:rsidRPr="00CF43F6">
        <w:rPr>
          <w:rFonts w:ascii="Century Gothic" w:hAnsi="Century Gothic" w:cstheme="minorHAnsi"/>
          <w:sz w:val="20"/>
          <w:szCs w:val="20"/>
        </w:rPr>
        <w:t>l 25 de enero de 2024, se realiza una segunda reunión del equipo encargado, esta vez con la presenci</w:t>
      </w:r>
      <w:r w:rsidR="00D67058">
        <w:rPr>
          <w:rFonts w:ascii="Century Gothic" w:hAnsi="Century Gothic" w:cstheme="minorHAnsi"/>
          <w:sz w:val="20"/>
          <w:szCs w:val="20"/>
        </w:rPr>
        <w:t>a y participación de funcionaria</w:t>
      </w:r>
      <w:r w:rsidR="00E435AB" w:rsidRPr="00CF43F6">
        <w:rPr>
          <w:rFonts w:ascii="Century Gothic" w:hAnsi="Century Gothic" w:cstheme="minorHAnsi"/>
          <w:sz w:val="20"/>
          <w:szCs w:val="20"/>
        </w:rPr>
        <w:t xml:space="preserve">s del Consejo de Participación Ciudadana y Control Social, con quienes se acuerda realizar </w:t>
      </w:r>
      <w:r w:rsidR="00D67058">
        <w:rPr>
          <w:rFonts w:ascii="Century Gothic" w:hAnsi="Century Gothic" w:cstheme="minorHAnsi"/>
          <w:sz w:val="20"/>
          <w:szCs w:val="20"/>
        </w:rPr>
        <w:t>dos</w:t>
      </w:r>
      <w:r w:rsidR="00E435AB" w:rsidRPr="00CF43F6">
        <w:rPr>
          <w:rFonts w:ascii="Century Gothic" w:hAnsi="Century Gothic" w:cstheme="minorHAnsi"/>
          <w:sz w:val="20"/>
          <w:szCs w:val="20"/>
        </w:rPr>
        <w:t xml:space="preserve"> capacitaci</w:t>
      </w:r>
      <w:r w:rsidR="00D67058">
        <w:rPr>
          <w:rFonts w:ascii="Century Gothic" w:hAnsi="Century Gothic" w:cstheme="minorHAnsi"/>
          <w:sz w:val="20"/>
          <w:szCs w:val="20"/>
        </w:rPr>
        <w:t>ones</w:t>
      </w:r>
      <w:r w:rsidR="00E435AB" w:rsidRPr="00CF43F6">
        <w:rPr>
          <w:rFonts w:ascii="Century Gothic" w:hAnsi="Century Gothic" w:cstheme="minorHAnsi"/>
          <w:sz w:val="20"/>
          <w:szCs w:val="20"/>
        </w:rPr>
        <w:t xml:space="preserve"> para dar cumplimiento al proceso en el DMQ y las entidades vinculantes.</w:t>
      </w:r>
    </w:p>
    <w:p w14:paraId="27446151" w14:textId="120DE166"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05 de febrero se realiza </w:t>
      </w:r>
      <w:r w:rsidR="00D67058">
        <w:rPr>
          <w:rFonts w:ascii="Century Gothic" w:hAnsi="Century Gothic" w:cstheme="minorHAnsi"/>
          <w:sz w:val="20"/>
          <w:szCs w:val="20"/>
        </w:rPr>
        <w:t xml:space="preserve">la primera </w:t>
      </w:r>
      <w:r w:rsidRPr="00CF43F6">
        <w:rPr>
          <w:rFonts w:ascii="Century Gothic" w:hAnsi="Century Gothic" w:cstheme="minorHAnsi"/>
          <w:sz w:val="20"/>
          <w:szCs w:val="20"/>
        </w:rPr>
        <w:t>capacitación por parte del Consejo de Participación Ciudadana y Control Social en modalidad virtual</w:t>
      </w:r>
      <w:r w:rsidR="00D67058">
        <w:rPr>
          <w:rFonts w:ascii="Century Gothic" w:hAnsi="Century Gothic" w:cstheme="minorHAnsi"/>
          <w:sz w:val="20"/>
          <w:szCs w:val="20"/>
        </w:rPr>
        <w:t xml:space="preserve"> sobre el Reglamento de Rendición de Cuentas</w:t>
      </w:r>
      <w:r w:rsidRPr="00CF43F6">
        <w:rPr>
          <w:rFonts w:ascii="Century Gothic" w:hAnsi="Century Gothic" w:cstheme="minorHAnsi"/>
          <w:sz w:val="20"/>
          <w:szCs w:val="20"/>
        </w:rPr>
        <w:t>, este espacio fue oportuno para despejar dudas y además establecer un primer contacto con el equipo de rendición de cuentas de cada institución.</w:t>
      </w:r>
    </w:p>
    <w:p w14:paraId="055617BA" w14:textId="77777777"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lastRenderedPageBreak/>
        <w:t>Con fecha 07 de febrero de 2024 se convoca a la tercera reunión del equipo designado por el Sr. Alcalde para validar la hoja de ruta propuesta por esta Secretaria para el desarrollo del proceso de rendición de cuentas 2023.</w:t>
      </w:r>
    </w:p>
    <w:p w14:paraId="52D8EFFE" w14:textId="54F2EC26"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El 08 de febrero de 2024, se envía información referente al proceso de rendición de cuentas 2023 a las entidades vincula</w:t>
      </w:r>
      <w:r w:rsidR="00D67058">
        <w:rPr>
          <w:rFonts w:ascii="Century Gothic" w:hAnsi="Century Gothic" w:cstheme="minorHAnsi"/>
          <w:sz w:val="20"/>
          <w:szCs w:val="20"/>
        </w:rPr>
        <w:t>das del GADDMQ obligadas a rendir cuentas</w:t>
      </w:r>
      <w:r w:rsidRPr="00CF43F6">
        <w:rPr>
          <w:rFonts w:ascii="Century Gothic" w:hAnsi="Century Gothic" w:cstheme="minorHAnsi"/>
          <w:sz w:val="20"/>
          <w:szCs w:val="20"/>
        </w:rPr>
        <w:t>, entre los documentos env</w:t>
      </w:r>
      <w:r w:rsidR="00D67058">
        <w:rPr>
          <w:rFonts w:ascii="Century Gothic" w:hAnsi="Century Gothic" w:cstheme="minorHAnsi"/>
          <w:sz w:val="20"/>
          <w:szCs w:val="20"/>
        </w:rPr>
        <w:t>iados constan: Reglamento de Rendición de C</w:t>
      </w:r>
      <w:r w:rsidRPr="00CF43F6">
        <w:rPr>
          <w:rFonts w:ascii="Century Gothic" w:hAnsi="Century Gothic" w:cstheme="minorHAnsi"/>
          <w:sz w:val="20"/>
          <w:szCs w:val="20"/>
        </w:rPr>
        <w:t xml:space="preserve">uentas y la reforma del año 2023, presentación del proceso de rendición de cuentas (elaborado por el CPCCS), </w:t>
      </w:r>
      <w:r w:rsidR="00D97B88">
        <w:rPr>
          <w:rFonts w:ascii="Century Gothic" w:hAnsi="Century Gothic" w:cstheme="minorHAnsi"/>
          <w:sz w:val="20"/>
          <w:szCs w:val="20"/>
        </w:rPr>
        <w:t>Hoja de R</w:t>
      </w:r>
      <w:r w:rsidRPr="00CF43F6">
        <w:rPr>
          <w:rFonts w:ascii="Century Gothic" w:hAnsi="Century Gothic" w:cstheme="minorHAnsi"/>
          <w:sz w:val="20"/>
          <w:szCs w:val="20"/>
        </w:rPr>
        <w:t xml:space="preserve">uta </w:t>
      </w:r>
      <w:r w:rsidR="00D67058">
        <w:rPr>
          <w:rFonts w:ascii="Century Gothic" w:hAnsi="Century Gothic" w:cstheme="minorHAnsi"/>
          <w:sz w:val="20"/>
          <w:szCs w:val="20"/>
        </w:rPr>
        <w:t xml:space="preserve">del </w:t>
      </w:r>
      <w:r w:rsidRPr="00CF43F6">
        <w:rPr>
          <w:rFonts w:ascii="Century Gothic" w:hAnsi="Century Gothic" w:cstheme="minorHAnsi"/>
          <w:sz w:val="20"/>
          <w:szCs w:val="20"/>
        </w:rPr>
        <w:t>proceso de rendición de cuentas 2023, validada por el equipo de</w:t>
      </w:r>
      <w:r w:rsidR="00D67058">
        <w:rPr>
          <w:rFonts w:ascii="Century Gothic" w:hAnsi="Century Gothic" w:cstheme="minorHAnsi"/>
          <w:sz w:val="20"/>
          <w:szCs w:val="20"/>
        </w:rPr>
        <w:t>signado</w:t>
      </w:r>
      <w:r w:rsidRPr="00CF43F6">
        <w:rPr>
          <w:rFonts w:ascii="Century Gothic" w:hAnsi="Century Gothic" w:cstheme="minorHAnsi"/>
          <w:sz w:val="20"/>
          <w:szCs w:val="20"/>
        </w:rPr>
        <w:t xml:space="preserve"> por el alcalde.</w:t>
      </w:r>
    </w:p>
    <w:p w14:paraId="677BD0AB" w14:textId="52AB03A0" w:rsidR="00E435AB" w:rsidRPr="00CF43F6" w:rsidRDefault="00847D66" w:rsidP="00847D6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08 de febrero de 2024, se realiza la sesión ordinaria Nro. 20 de la Asamblea de Quito, donde se designaron a 10 asambleístas metropolitanos que conformarán las comisiones mixtas 1 y 2 </w:t>
      </w:r>
      <w:r w:rsidR="00D97B88">
        <w:rPr>
          <w:rFonts w:ascii="Century Gothic" w:hAnsi="Century Gothic" w:cstheme="minorHAnsi"/>
          <w:sz w:val="20"/>
          <w:szCs w:val="20"/>
        </w:rPr>
        <w:t xml:space="preserve">en representación de la ciudadanía </w:t>
      </w:r>
      <w:r w:rsidRPr="00CF43F6">
        <w:rPr>
          <w:rFonts w:ascii="Century Gothic" w:hAnsi="Century Gothic" w:cstheme="minorHAnsi"/>
          <w:sz w:val="20"/>
          <w:szCs w:val="20"/>
        </w:rPr>
        <w:t>para el proceso de rendición de cuentas 2023 del DMQ.</w:t>
      </w:r>
    </w:p>
    <w:p w14:paraId="14011175" w14:textId="17E8FCCA"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16 de febrero de 2024, se envía a las y los asambleístas </w:t>
      </w:r>
      <w:r w:rsidR="00434CA7">
        <w:rPr>
          <w:rFonts w:ascii="Century Gothic" w:hAnsi="Century Gothic" w:cstheme="minorHAnsi"/>
          <w:sz w:val="20"/>
          <w:szCs w:val="20"/>
        </w:rPr>
        <w:t xml:space="preserve">y se comparte con la ciudadanía </w:t>
      </w:r>
      <w:r w:rsidRPr="00CF43F6">
        <w:rPr>
          <w:rFonts w:ascii="Century Gothic" w:hAnsi="Century Gothic" w:cstheme="minorHAnsi"/>
          <w:sz w:val="20"/>
          <w:szCs w:val="20"/>
        </w:rPr>
        <w:t xml:space="preserve">los documentos descritos en </w:t>
      </w:r>
      <w:r w:rsidR="00434CA7">
        <w:rPr>
          <w:rFonts w:ascii="Century Gothic" w:hAnsi="Century Gothic" w:cstheme="minorHAnsi"/>
          <w:sz w:val="20"/>
          <w:szCs w:val="20"/>
        </w:rPr>
        <w:t xml:space="preserve">el Reglamento de Rendición de Cuentas </w:t>
      </w:r>
      <w:r w:rsidRPr="00CF43F6">
        <w:rPr>
          <w:rFonts w:ascii="Century Gothic" w:hAnsi="Century Gothic" w:cstheme="minorHAnsi"/>
          <w:sz w:val="20"/>
          <w:szCs w:val="20"/>
        </w:rPr>
        <w:t>del CPCCS (PMDOT</w:t>
      </w:r>
      <w:r w:rsidR="00D97B88">
        <w:rPr>
          <w:rFonts w:ascii="Century Gothic" w:hAnsi="Century Gothic" w:cstheme="minorHAnsi"/>
          <w:sz w:val="20"/>
          <w:szCs w:val="20"/>
        </w:rPr>
        <w:t xml:space="preserve"> 2021-2033</w:t>
      </w:r>
      <w:r w:rsidRPr="00CF43F6">
        <w:rPr>
          <w:rFonts w:ascii="Century Gothic" w:hAnsi="Century Gothic" w:cstheme="minorHAnsi"/>
          <w:sz w:val="20"/>
          <w:szCs w:val="20"/>
        </w:rPr>
        <w:t xml:space="preserve">, plan de trabajo </w:t>
      </w:r>
      <w:r w:rsidR="00D97B88">
        <w:rPr>
          <w:rFonts w:ascii="Century Gothic" w:hAnsi="Century Gothic" w:cstheme="minorHAnsi"/>
          <w:sz w:val="20"/>
          <w:szCs w:val="20"/>
        </w:rPr>
        <w:t xml:space="preserve">del </w:t>
      </w:r>
      <w:r w:rsidRPr="00CF43F6">
        <w:rPr>
          <w:rFonts w:ascii="Century Gothic" w:hAnsi="Century Gothic" w:cstheme="minorHAnsi"/>
          <w:sz w:val="20"/>
          <w:szCs w:val="20"/>
        </w:rPr>
        <w:t xml:space="preserve">alcalde electo, presupuesto institucional ejercicio fiscal 2023) para iniciar con las consultas ciudadanas </w:t>
      </w:r>
      <w:r w:rsidR="00434CA7">
        <w:rPr>
          <w:rFonts w:ascii="Century Gothic" w:hAnsi="Century Gothic" w:cstheme="minorHAnsi"/>
          <w:sz w:val="20"/>
          <w:szCs w:val="20"/>
        </w:rPr>
        <w:t>en función de levantar su</w:t>
      </w:r>
      <w:r w:rsidRPr="00CF43F6">
        <w:rPr>
          <w:rFonts w:ascii="Century Gothic" w:hAnsi="Century Gothic" w:cstheme="minorHAnsi"/>
          <w:sz w:val="20"/>
          <w:szCs w:val="20"/>
        </w:rPr>
        <w:t xml:space="preserve">s temas de interés. </w:t>
      </w:r>
    </w:p>
    <w:p w14:paraId="4BA4E37C" w14:textId="2EA1ED23" w:rsidR="00945806" w:rsidRPr="00CF43F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Con fecha 16 de febrero de 2024, se remite a las entidades vinculadas la </w:t>
      </w:r>
      <w:r w:rsidR="00434CA7">
        <w:rPr>
          <w:rFonts w:ascii="Century Gothic" w:hAnsi="Century Gothic" w:cstheme="minorHAnsi"/>
          <w:sz w:val="20"/>
          <w:szCs w:val="20"/>
        </w:rPr>
        <w:t xml:space="preserve">lista de las y </w:t>
      </w:r>
      <w:r w:rsidRPr="00CF43F6">
        <w:rPr>
          <w:rFonts w:ascii="Century Gothic" w:hAnsi="Century Gothic" w:cstheme="minorHAnsi"/>
          <w:sz w:val="20"/>
          <w:szCs w:val="20"/>
        </w:rPr>
        <w:t xml:space="preserve">los asambleístas metropolitanos que de manera voluntaria desean integrar las comisiones mixtas 1 y 2 de </w:t>
      </w:r>
      <w:r w:rsidR="00434CA7">
        <w:rPr>
          <w:rFonts w:ascii="Century Gothic" w:hAnsi="Century Gothic" w:cstheme="minorHAnsi"/>
          <w:sz w:val="20"/>
          <w:szCs w:val="20"/>
        </w:rPr>
        <w:t xml:space="preserve">las diferentes instituciones </w:t>
      </w:r>
      <w:r w:rsidRPr="00CF43F6">
        <w:rPr>
          <w:rFonts w:ascii="Century Gothic" w:hAnsi="Century Gothic" w:cstheme="minorHAnsi"/>
          <w:sz w:val="20"/>
          <w:szCs w:val="20"/>
        </w:rPr>
        <w:t>obligada a rendir cuentas, con esta información cada entidad vinculada deberá constituir sus propias comisiones.</w:t>
      </w:r>
    </w:p>
    <w:p w14:paraId="0FB7E105" w14:textId="7029A11E" w:rsidR="00945806" w:rsidRPr="00CF43F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Con fecha 21 de febrero, se solicita a las y los Administradores Zonales que realicen reuniones con la comunidad </w:t>
      </w:r>
      <w:r w:rsidR="00434CA7">
        <w:rPr>
          <w:rFonts w:ascii="Century Gothic" w:hAnsi="Century Gothic" w:cstheme="minorHAnsi"/>
          <w:sz w:val="20"/>
          <w:szCs w:val="20"/>
        </w:rPr>
        <w:t xml:space="preserve">para </w:t>
      </w:r>
      <w:r w:rsidRPr="00CF43F6">
        <w:rPr>
          <w:rFonts w:ascii="Century Gothic" w:hAnsi="Century Gothic" w:cstheme="minorHAnsi"/>
          <w:sz w:val="20"/>
          <w:szCs w:val="20"/>
        </w:rPr>
        <w:t xml:space="preserve">recoger las consultas ciudadanas sobre los temas de interés de los cuáles solicitan rendir cuentas del periodo 2023, dichas reuniones se realizarán hasta el 27 de febrero, </w:t>
      </w:r>
      <w:r w:rsidR="00434CA7">
        <w:rPr>
          <w:rFonts w:ascii="Century Gothic" w:hAnsi="Century Gothic" w:cstheme="minorHAnsi"/>
          <w:sz w:val="20"/>
          <w:szCs w:val="20"/>
        </w:rPr>
        <w:t xml:space="preserve">cuya información se </w:t>
      </w:r>
      <w:r w:rsidRPr="00CF43F6">
        <w:rPr>
          <w:rFonts w:ascii="Century Gothic" w:hAnsi="Century Gothic" w:cstheme="minorHAnsi"/>
          <w:sz w:val="20"/>
          <w:szCs w:val="20"/>
        </w:rPr>
        <w:t>sistematizará para ser remitida a las empresas e instituciones municipales correspondientes.</w:t>
      </w:r>
    </w:p>
    <w:p w14:paraId="1C402F8C" w14:textId="689F48F9" w:rsidR="00945806" w:rsidRPr="00CF43F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El 29 de febr</w:t>
      </w:r>
      <w:r w:rsidR="00E62300">
        <w:rPr>
          <w:rFonts w:ascii="Century Gothic" w:hAnsi="Century Gothic" w:cstheme="minorHAnsi"/>
          <w:sz w:val="20"/>
          <w:szCs w:val="20"/>
        </w:rPr>
        <w:t>ero de 2024, se instalaron las Comisiones M</w:t>
      </w:r>
      <w:r w:rsidRPr="00CF43F6">
        <w:rPr>
          <w:rFonts w:ascii="Century Gothic" w:hAnsi="Century Gothic" w:cstheme="minorHAnsi"/>
          <w:sz w:val="20"/>
          <w:szCs w:val="20"/>
        </w:rPr>
        <w:t xml:space="preserve">ixtas 1 y 2 con </w:t>
      </w:r>
      <w:r w:rsidR="00E62300">
        <w:rPr>
          <w:rFonts w:ascii="Century Gothic" w:hAnsi="Century Gothic" w:cstheme="minorHAnsi"/>
          <w:sz w:val="20"/>
          <w:szCs w:val="20"/>
        </w:rPr>
        <w:t xml:space="preserve">las y </w:t>
      </w:r>
      <w:r w:rsidRPr="00CF43F6">
        <w:rPr>
          <w:rFonts w:ascii="Century Gothic" w:hAnsi="Century Gothic" w:cstheme="minorHAnsi"/>
          <w:sz w:val="20"/>
          <w:szCs w:val="20"/>
        </w:rPr>
        <w:t xml:space="preserve">los asambleístas designados y </w:t>
      </w:r>
      <w:r w:rsidR="00E62300">
        <w:rPr>
          <w:rFonts w:ascii="Century Gothic" w:hAnsi="Century Gothic" w:cstheme="minorHAnsi"/>
          <w:sz w:val="20"/>
          <w:szCs w:val="20"/>
        </w:rPr>
        <w:t xml:space="preserve">las y </w:t>
      </w:r>
      <w:r w:rsidRPr="00CF43F6">
        <w:rPr>
          <w:rFonts w:ascii="Century Gothic" w:hAnsi="Century Gothic" w:cstheme="minorHAnsi"/>
          <w:sz w:val="20"/>
          <w:szCs w:val="20"/>
        </w:rPr>
        <w:t>los funcionarios de las dependencias municipales delegadas.</w:t>
      </w:r>
    </w:p>
    <w:p w14:paraId="1816B3DB" w14:textId="2D965BC4" w:rsidR="0094580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01 y 03 de marzo se envió </w:t>
      </w:r>
      <w:r w:rsidR="00E62300" w:rsidRPr="00CF43F6">
        <w:rPr>
          <w:rFonts w:ascii="Century Gothic" w:hAnsi="Century Gothic" w:cstheme="minorHAnsi"/>
          <w:sz w:val="20"/>
          <w:szCs w:val="20"/>
        </w:rPr>
        <w:t xml:space="preserve">a </w:t>
      </w:r>
      <w:r w:rsidR="00E62300">
        <w:rPr>
          <w:rFonts w:ascii="Century Gothic" w:hAnsi="Century Gothic" w:cstheme="minorHAnsi"/>
          <w:sz w:val="20"/>
          <w:szCs w:val="20"/>
        </w:rPr>
        <w:t xml:space="preserve">las y </w:t>
      </w:r>
      <w:r w:rsidR="00E62300" w:rsidRPr="00CF43F6">
        <w:rPr>
          <w:rFonts w:ascii="Century Gothic" w:hAnsi="Century Gothic" w:cstheme="minorHAnsi"/>
          <w:sz w:val="20"/>
          <w:szCs w:val="20"/>
        </w:rPr>
        <w:t>los asambleístas metropolitanos como a las dependencias del Municipio</w:t>
      </w:r>
      <w:r w:rsidR="00E62300">
        <w:rPr>
          <w:rFonts w:ascii="Century Gothic" w:hAnsi="Century Gothic" w:cstheme="minorHAnsi"/>
          <w:sz w:val="20"/>
          <w:szCs w:val="20"/>
        </w:rPr>
        <w:t>,</w:t>
      </w:r>
      <w:r w:rsidR="00E62300" w:rsidRPr="00CF43F6">
        <w:rPr>
          <w:rFonts w:ascii="Century Gothic" w:hAnsi="Century Gothic" w:cstheme="minorHAnsi"/>
          <w:sz w:val="20"/>
          <w:szCs w:val="20"/>
        </w:rPr>
        <w:t xml:space="preserve"> </w:t>
      </w:r>
      <w:r w:rsidRPr="00CF43F6">
        <w:rPr>
          <w:rFonts w:ascii="Century Gothic" w:hAnsi="Century Gothic" w:cstheme="minorHAnsi"/>
          <w:sz w:val="20"/>
          <w:szCs w:val="20"/>
        </w:rPr>
        <w:t xml:space="preserve">la sistematización que contiene los temas de interés sobre los cuales la ciudadanía decidió se rinda cuentas. </w:t>
      </w:r>
    </w:p>
    <w:p w14:paraId="4F20EA32" w14:textId="77777777" w:rsidR="001E11D8" w:rsidRDefault="00C57889"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06 de marzo de 2024 se realizó la </w:t>
      </w:r>
      <w:r w:rsidR="00E62300">
        <w:rPr>
          <w:rFonts w:ascii="Century Gothic" w:hAnsi="Century Gothic" w:cstheme="minorHAnsi"/>
          <w:sz w:val="20"/>
          <w:szCs w:val="20"/>
        </w:rPr>
        <w:t xml:space="preserve">segunda </w:t>
      </w:r>
      <w:r w:rsidRPr="00CF43F6">
        <w:rPr>
          <w:rFonts w:ascii="Century Gothic" w:hAnsi="Century Gothic" w:cstheme="minorHAnsi"/>
          <w:sz w:val="20"/>
          <w:szCs w:val="20"/>
        </w:rPr>
        <w:t>capacitación por parte del Consejo de Participación Ciudadana y Control Social a las entidades obligadas a rendir cuentas sobre cómo llenar el formulario.</w:t>
      </w:r>
    </w:p>
    <w:p w14:paraId="51ADEA63" w14:textId="24C79420" w:rsidR="001E11D8" w:rsidRPr="001E11D8" w:rsidRDefault="001E11D8" w:rsidP="001E11D8">
      <w:pPr>
        <w:pStyle w:val="Prrafodelista"/>
        <w:numPr>
          <w:ilvl w:val="0"/>
          <w:numId w:val="9"/>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El </w:t>
      </w:r>
      <w:r w:rsidRPr="001E11D8">
        <w:rPr>
          <w:rFonts w:ascii="Century Gothic" w:hAnsi="Century Gothic" w:cstheme="minorHAnsi"/>
          <w:sz w:val="20"/>
          <w:szCs w:val="20"/>
        </w:rPr>
        <w:t>lunes 25 de marzo de 2024 se conoce el ajuste del cronograma dispuesto por el Consejo de Participación Ciudadana y Control Social para los eventos de deliberación pública, por lo que se genera una nueva reunión con la SECOM, SGP y SGCTGYP para establecer una nueva fecha del evento de deliberación;</w:t>
      </w:r>
    </w:p>
    <w:p w14:paraId="30239F3F" w14:textId="77777777" w:rsidR="001E11D8" w:rsidRPr="001E11D8" w:rsidRDefault="001E11D8" w:rsidP="001E11D8">
      <w:pPr>
        <w:pStyle w:val="Prrafodelista"/>
        <w:numPr>
          <w:ilvl w:val="0"/>
          <w:numId w:val="9"/>
        </w:numPr>
        <w:spacing w:line="276" w:lineRule="auto"/>
        <w:jc w:val="both"/>
        <w:rPr>
          <w:rFonts w:ascii="Century Gothic" w:hAnsi="Century Gothic" w:cstheme="minorHAnsi"/>
          <w:sz w:val="20"/>
          <w:szCs w:val="20"/>
        </w:rPr>
      </w:pPr>
      <w:r w:rsidRPr="001E11D8">
        <w:rPr>
          <w:rFonts w:ascii="Century Gothic" w:hAnsi="Century Gothic" w:cstheme="minorHAnsi"/>
          <w:sz w:val="20"/>
          <w:szCs w:val="20"/>
        </w:rPr>
        <w:t>Mediante Oficio Nro. GADDMQ-SGCTGYP-2024-0231-O del 26 de marzo de 2024 se difunde el Oficio con el ajuste del cronograma para el proceso de rendición de cuentas;</w:t>
      </w:r>
    </w:p>
    <w:p w14:paraId="59CC4831" w14:textId="77777777" w:rsidR="005C5952" w:rsidRPr="005C5952" w:rsidRDefault="005C5952" w:rsidP="005C5952">
      <w:pPr>
        <w:pStyle w:val="Prrafodelista"/>
        <w:numPr>
          <w:ilvl w:val="0"/>
          <w:numId w:val="9"/>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Con fecha 25 de abril se reúnen los integrantes de la Comisión Mixta 1, en dónde acuerdan: </w:t>
      </w:r>
      <w:r w:rsidRPr="005C5952">
        <w:rPr>
          <w:rFonts w:ascii="Century Gothic" w:hAnsi="Century Gothic" w:cstheme="minorHAnsi"/>
          <w:i/>
          <w:sz w:val="20"/>
          <w:szCs w:val="20"/>
        </w:rPr>
        <w:t>“(…)” remitir el Informe Narrativo y Formulario de Rendición de Cuentas 2023 en su versión preliminar para conocimiento y aprobación de la Máxima Autoridad del Distrito Metropolitano de Quito.”</w:t>
      </w:r>
    </w:p>
    <w:p w14:paraId="4C339394" w14:textId="06F17D48" w:rsidR="005C5952" w:rsidRPr="005C5952" w:rsidRDefault="005C5952" w:rsidP="005C5952">
      <w:pPr>
        <w:pStyle w:val="Prrafodelista"/>
        <w:numPr>
          <w:ilvl w:val="0"/>
          <w:numId w:val="9"/>
        </w:numPr>
        <w:spacing w:line="276" w:lineRule="auto"/>
        <w:jc w:val="both"/>
        <w:rPr>
          <w:rFonts w:ascii="Century Gothic" w:hAnsi="Century Gothic" w:cstheme="minorHAnsi"/>
          <w:i/>
          <w:sz w:val="20"/>
          <w:szCs w:val="20"/>
        </w:rPr>
      </w:pPr>
      <w:r w:rsidRPr="005C5952">
        <w:rPr>
          <w:rFonts w:ascii="Century Gothic" w:hAnsi="Century Gothic" w:cstheme="minorHAnsi"/>
          <w:i/>
          <w:sz w:val="20"/>
          <w:szCs w:val="20"/>
        </w:rPr>
        <w:lastRenderedPageBreak/>
        <w:t>Mediante Oficio Nro. GADDMQ-SGP-2024-0177-O del 29 de abril de 2024 el Sr. Econ.</w:t>
      </w:r>
      <w:r>
        <w:rPr>
          <w:rFonts w:ascii="Century Gothic" w:hAnsi="Century Gothic" w:cstheme="minorHAnsi"/>
          <w:i/>
          <w:sz w:val="20"/>
          <w:szCs w:val="20"/>
        </w:rPr>
        <w:t xml:space="preserve"> </w:t>
      </w:r>
      <w:r w:rsidRPr="005C5952">
        <w:rPr>
          <w:rFonts w:ascii="Century Gothic" w:hAnsi="Century Gothic" w:cstheme="minorHAnsi"/>
          <w:i/>
          <w:sz w:val="20"/>
          <w:szCs w:val="20"/>
        </w:rPr>
        <w:t xml:space="preserve">Juan Carlos Parra Fonseca, Secretario General </w:t>
      </w:r>
      <w:r>
        <w:rPr>
          <w:rFonts w:ascii="Century Gothic" w:hAnsi="Century Gothic" w:cstheme="minorHAnsi"/>
          <w:i/>
          <w:sz w:val="20"/>
          <w:szCs w:val="20"/>
        </w:rPr>
        <w:t>de Planificación, establece: “[…</w:t>
      </w:r>
      <w:r w:rsidRPr="005C5952">
        <w:rPr>
          <w:rFonts w:ascii="Century Gothic" w:hAnsi="Century Gothic" w:cstheme="minorHAnsi"/>
          <w:i/>
          <w:sz w:val="20"/>
          <w:szCs w:val="20"/>
        </w:rPr>
        <w:t>] El</w:t>
      </w:r>
      <w:r>
        <w:rPr>
          <w:rFonts w:ascii="Century Gothic" w:hAnsi="Century Gothic" w:cstheme="minorHAnsi"/>
          <w:i/>
          <w:sz w:val="20"/>
          <w:szCs w:val="20"/>
        </w:rPr>
        <w:t xml:space="preserve"> </w:t>
      </w:r>
      <w:r w:rsidRPr="005C5952">
        <w:rPr>
          <w:rFonts w:ascii="Century Gothic" w:hAnsi="Century Gothic" w:cstheme="minorHAnsi"/>
          <w:i/>
          <w:sz w:val="20"/>
          <w:szCs w:val="20"/>
        </w:rPr>
        <w:t>propósito del presente, en el marco del proceso de “Rendición de Cuentas 2023 del GAD</w:t>
      </w:r>
      <w:r>
        <w:rPr>
          <w:rFonts w:ascii="Century Gothic" w:hAnsi="Century Gothic" w:cstheme="minorHAnsi"/>
          <w:i/>
          <w:sz w:val="20"/>
          <w:szCs w:val="20"/>
        </w:rPr>
        <w:t xml:space="preserve"> </w:t>
      </w:r>
      <w:r w:rsidRPr="005C5952">
        <w:rPr>
          <w:rFonts w:ascii="Century Gothic" w:hAnsi="Century Gothic" w:cstheme="minorHAnsi"/>
          <w:i/>
          <w:sz w:val="20"/>
          <w:szCs w:val="20"/>
        </w:rPr>
        <w:t>del Distrito Metropolitano de Quito”, es remitir el "Formulario de Rendición de Cuentas</w:t>
      </w:r>
      <w:r>
        <w:rPr>
          <w:rFonts w:ascii="Century Gothic" w:hAnsi="Century Gothic" w:cstheme="minorHAnsi"/>
          <w:i/>
          <w:sz w:val="20"/>
          <w:szCs w:val="20"/>
        </w:rPr>
        <w:t xml:space="preserve"> </w:t>
      </w:r>
      <w:r w:rsidRPr="005C5952">
        <w:rPr>
          <w:rFonts w:ascii="Century Gothic" w:hAnsi="Century Gothic" w:cstheme="minorHAnsi"/>
          <w:i/>
          <w:sz w:val="20"/>
          <w:szCs w:val="20"/>
        </w:rPr>
        <w:t>2023 del GAD del DMQ" y el correspondiente “Informe Narrativo”, para su aprobación</w:t>
      </w:r>
      <w:r>
        <w:rPr>
          <w:rFonts w:ascii="Century Gothic" w:hAnsi="Century Gothic" w:cstheme="minorHAnsi"/>
          <w:i/>
          <w:sz w:val="20"/>
          <w:szCs w:val="20"/>
        </w:rPr>
        <w:t xml:space="preserve"> </w:t>
      </w:r>
      <w:r w:rsidRPr="005C5952">
        <w:rPr>
          <w:rFonts w:ascii="Century Gothic" w:hAnsi="Century Gothic" w:cstheme="minorHAnsi"/>
          <w:i/>
          <w:sz w:val="20"/>
          <w:szCs w:val="20"/>
        </w:rPr>
        <w:t>[…</w:t>
      </w:r>
      <w:r>
        <w:rPr>
          <w:rFonts w:ascii="Century Gothic" w:hAnsi="Century Gothic" w:cstheme="minorHAnsi"/>
          <w:i/>
          <w:sz w:val="20"/>
          <w:szCs w:val="20"/>
        </w:rPr>
        <w:t>]”</w:t>
      </w:r>
    </w:p>
    <w:p w14:paraId="387BE977" w14:textId="137D625F" w:rsidR="00E62300" w:rsidRPr="005C5952" w:rsidRDefault="005C5952" w:rsidP="005C5952">
      <w:pPr>
        <w:pStyle w:val="Prrafodelista"/>
        <w:numPr>
          <w:ilvl w:val="0"/>
          <w:numId w:val="9"/>
        </w:numPr>
        <w:spacing w:line="276" w:lineRule="auto"/>
        <w:jc w:val="both"/>
        <w:rPr>
          <w:rFonts w:ascii="Century Gothic" w:hAnsi="Century Gothic" w:cstheme="minorHAnsi"/>
          <w:i/>
          <w:sz w:val="20"/>
          <w:szCs w:val="20"/>
        </w:rPr>
      </w:pPr>
      <w:r w:rsidRPr="005C5952">
        <w:rPr>
          <w:rFonts w:ascii="Century Gothic" w:hAnsi="Century Gothic" w:cstheme="minorHAnsi"/>
          <w:sz w:val="20"/>
          <w:szCs w:val="20"/>
        </w:rPr>
        <w:t>Mediante Oficio Nro. GADDMQ-AM-2024-0710-OF del 29 de abril, el Sr. Alcalde del</w:t>
      </w:r>
      <w:r>
        <w:rPr>
          <w:rFonts w:ascii="Century Gothic" w:hAnsi="Century Gothic" w:cstheme="minorHAnsi"/>
          <w:sz w:val="20"/>
          <w:szCs w:val="20"/>
        </w:rPr>
        <w:t xml:space="preserve"> </w:t>
      </w:r>
      <w:r w:rsidRPr="005C5952">
        <w:rPr>
          <w:rFonts w:ascii="Century Gothic" w:hAnsi="Century Gothic" w:cstheme="minorHAnsi"/>
          <w:sz w:val="20"/>
          <w:szCs w:val="20"/>
        </w:rPr>
        <w:t xml:space="preserve">DMQ, Pabel Muñoz, informa: </w:t>
      </w:r>
      <w:r w:rsidRPr="005C5952">
        <w:rPr>
          <w:rFonts w:ascii="Century Gothic" w:hAnsi="Century Gothic" w:cstheme="minorHAnsi"/>
          <w:i/>
          <w:sz w:val="20"/>
          <w:szCs w:val="20"/>
        </w:rPr>
        <w:t>"[...] me permito aprobar el “Formulario consolidado de Rendición de Cuentas 2023 del GAD del DMQ” y el "Informe Narrativo de Rendición de Cuentas 2023 del GAD del DMQ" anexos al oficio No. GADDMQ-SGP-2024-0177-O, a efecto que los mismos sean socializados a la Asamblea Ciudadana Local en los tiempos establecidos, difundidos y publicados ampliamente [...]"</w:t>
      </w:r>
    </w:p>
    <w:p w14:paraId="3091B26B" w14:textId="2AB46C66" w:rsidR="005C5952" w:rsidRDefault="005C5952" w:rsidP="00A60150">
      <w:pPr>
        <w:pStyle w:val="Prrafodelista"/>
        <w:numPr>
          <w:ilvl w:val="0"/>
          <w:numId w:val="9"/>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Mediante Oficio Nro. GADDMQ-SGCTGYP-2024-0313-O del 30 de abril, la Sra. Secretaria General de Coordinación Territorial, Gobernabilidad y Participación, Carina Vance, remite a las y los Asambleístas Metropolitanos </w:t>
      </w:r>
      <w:r w:rsidR="00A60150">
        <w:rPr>
          <w:rFonts w:ascii="Century Gothic" w:hAnsi="Century Gothic" w:cstheme="minorHAnsi"/>
          <w:sz w:val="20"/>
          <w:szCs w:val="20"/>
        </w:rPr>
        <w:t xml:space="preserve">el </w:t>
      </w:r>
      <w:r w:rsidRPr="005C5952">
        <w:rPr>
          <w:rFonts w:ascii="Century Gothic" w:hAnsi="Century Gothic" w:cstheme="minorHAnsi"/>
          <w:sz w:val="20"/>
          <w:szCs w:val="20"/>
        </w:rPr>
        <w:t>Formulario de Rendición de Cuentas e Informe Narrativo de Rendición de</w:t>
      </w:r>
      <w:r w:rsidR="00A60150">
        <w:rPr>
          <w:rFonts w:ascii="Century Gothic" w:hAnsi="Century Gothic" w:cstheme="minorHAnsi"/>
          <w:sz w:val="20"/>
          <w:szCs w:val="20"/>
        </w:rPr>
        <w:t xml:space="preserve"> </w:t>
      </w:r>
      <w:r w:rsidRPr="00A60150">
        <w:rPr>
          <w:rFonts w:ascii="Century Gothic" w:hAnsi="Century Gothic" w:cstheme="minorHAnsi"/>
          <w:sz w:val="20"/>
          <w:szCs w:val="20"/>
        </w:rPr>
        <w:t>Cuentas 2023 del GADDMQ</w:t>
      </w:r>
      <w:r w:rsidR="00A60150">
        <w:rPr>
          <w:rFonts w:ascii="Century Gothic" w:hAnsi="Century Gothic" w:cstheme="minorHAnsi"/>
          <w:sz w:val="20"/>
          <w:szCs w:val="20"/>
        </w:rPr>
        <w:t xml:space="preserve"> aprobados por el Sr. Alcalde, Pabel Muñoz.</w:t>
      </w:r>
    </w:p>
    <w:p w14:paraId="66AF5F57" w14:textId="5BA6C55D" w:rsidR="00A60150" w:rsidRPr="00430932" w:rsidRDefault="00A60150" w:rsidP="00A60150">
      <w:pPr>
        <w:pStyle w:val="Prrafodelista"/>
        <w:numPr>
          <w:ilvl w:val="0"/>
          <w:numId w:val="9"/>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Con fecha 01 de mayo, se reúnen los integrantes de la Comisión Mixta 2, con el objeto de establecer la fecha, hora y lugar para el evento de Deliberación pública de Rendición de Cuentas 2023, y acuerdan que el mismo se realizará </w:t>
      </w:r>
      <w:r w:rsidRPr="00A60150">
        <w:rPr>
          <w:rFonts w:ascii="Century Gothic" w:hAnsi="Century Gothic" w:cstheme="minorHAnsi"/>
          <w:i/>
          <w:sz w:val="20"/>
          <w:szCs w:val="20"/>
        </w:rPr>
        <w:t>“(…) en el Salón de la Ciudad, el 27 de mayo de 2024 a las 17:00 (a menos que exista una situación emergente o de fuerza mayor (…)”</w:t>
      </w:r>
    </w:p>
    <w:p w14:paraId="27EE741A" w14:textId="5A299E10" w:rsidR="00430932" w:rsidRPr="00A60150" w:rsidRDefault="00430932" w:rsidP="00430932">
      <w:pPr>
        <w:pStyle w:val="Prrafodelista"/>
        <w:numPr>
          <w:ilvl w:val="0"/>
          <w:numId w:val="9"/>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Con fecha 10 de mayo, se remite el oficio Nro. </w:t>
      </w:r>
      <w:r w:rsidRPr="00430932">
        <w:rPr>
          <w:rFonts w:ascii="Century Gothic" w:hAnsi="Century Gothic" w:cstheme="minorHAnsi"/>
          <w:sz w:val="20"/>
          <w:szCs w:val="20"/>
        </w:rPr>
        <w:t>GADDMQ-SGCTGYP-2024-0348-O</w:t>
      </w:r>
      <w:r>
        <w:rPr>
          <w:rFonts w:ascii="Century Gothic" w:hAnsi="Century Gothic" w:cstheme="minorHAnsi"/>
          <w:sz w:val="20"/>
          <w:szCs w:val="20"/>
        </w:rPr>
        <w:t xml:space="preserve"> a las y los Sres. Asambleístas Metropolitanos de Quito, a los presidentes de las Comunas y presidentes de barrios del DMQ, en cumplimiento a la Resolución </w:t>
      </w:r>
      <w:r w:rsidRPr="00D67058">
        <w:rPr>
          <w:rFonts w:ascii="Century Gothic" w:hAnsi="Century Gothic" w:cstheme="minorHAnsi"/>
          <w:sz w:val="20"/>
          <w:szCs w:val="20"/>
        </w:rPr>
        <w:t>No. CPCCS-PLE-SG-069-2021-476</w:t>
      </w:r>
      <w:r>
        <w:rPr>
          <w:rFonts w:ascii="Century Gothic" w:hAnsi="Century Gothic" w:cstheme="minorHAnsi"/>
          <w:sz w:val="20"/>
          <w:szCs w:val="20"/>
        </w:rPr>
        <w:t>, Art. 12 Fase 3 sobre la Deliberación pública y evaluación ciudadana del Informe Institucional.</w:t>
      </w:r>
    </w:p>
    <w:p w14:paraId="037509A1" w14:textId="43F8EC76" w:rsidR="00120AB7" w:rsidRPr="00CF43F6" w:rsidRDefault="00674D61" w:rsidP="00530DC7">
      <w:pPr>
        <w:pStyle w:val="Ttulo1"/>
        <w:numPr>
          <w:ilvl w:val="0"/>
          <w:numId w:val="18"/>
        </w:numPr>
        <w:rPr>
          <w:rFonts w:ascii="Century Gothic" w:hAnsi="Century Gothic"/>
          <w:sz w:val="20"/>
          <w:szCs w:val="20"/>
        </w:rPr>
      </w:pPr>
      <w:bookmarkStart w:id="1" w:name="_Toc165565928"/>
      <w:r w:rsidRPr="00CF43F6">
        <w:rPr>
          <w:rFonts w:ascii="Century Gothic" w:hAnsi="Century Gothic"/>
          <w:sz w:val="20"/>
          <w:szCs w:val="20"/>
        </w:rPr>
        <w:t>BASE LEGAL</w:t>
      </w:r>
      <w:bookmarkEnd w:id="1"/>
    </w:p>
    <w:p w14:paraId="1717B40B" w14:textId="77777777" w:rsidR="008A2D77" w:rsidRPr="00CF43F6" w:rsidRDefault="008A2D77" w:rsidP="008A2D77">
      <w:pPr>
        <w:pStyle w:val="Prrafodelista"/>
        <w:spacing w:line="276" w:lineRule="auto"/>
        <w:rPr>
          <w:rFonts w:ascii="Century Gothic" w:hAnsi="Century Gothic" w:cstheme="minorHAnsi"/>
          <w:b/>
          <w:sz w:val="20"/>
          <w:szCs w:val="20"/>
        </w:rPr>
      </w:pPr>
    </w:p>
    <w:p w14:paraId="709285E8"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Constitución de la República del Ecuador</w:t>
      </w:r>
    </w:p>
    <w:p w14:paraId="40280A18"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102FDE7F" w14:textId="16415823" w:rsidR="008A2D77" w:rsidRPr="00CF43F6" w:rsidRDefault="008A2D77" w:rsidP="008A2D77">
      <w:pPr>
        <w:spacing w:line="276" w:lineRule="auto"/>
        <w:jc w:val="both"/>
        <w:rPr>
          <w:rFonts w:ascii="Century Gothic" w:eastAsia="Times New Roman" w:hAnsi="Century Gothic" w:cstheme="minorHAnsi"/>
          <w:bCs/>
          <w:i/>
          <w:iCs/>
          <w:sz w:val="20"/>
          <w:szCs w:val="20"/>
          <w:lang w:val="es-MX" w:eastAsia="es-EC"/>
        </w:rPr>
      </w:pPr>
      <w:r w:rsidRPr="00CF43F6">
        <w:rPr>
          <w:rFonts w:ascii="Century Gothic" w:eastAsia="Times New Roman" w:hAnsi="Century Gothic" w:cstheme="minorHAnsi"/>
          <w:b/>
          <w:bCs/>
          <w:iCs/>
          <w:sz w:val="20"/>
          <w:szCs w:val="20"/>
          <w:lang w:val="es-MX" w:eastAsia="es-EC"/>
        </w:rPr>
        <w:t xml:space="preserve">Artículo 61.- </w:t>
      </w:r>
      <w:r w:rsidRPr="00CF43F6">
        <w:rPr>
          <w:rFonts w:ascii="Century Gothic" w:eastAsia="Times New Roman" w:hAnsi="Century Gothic" w:cstheme="minorHAnsi"/>
          <w:b/>
          <w:bCs/>
          <w:i/>
          <w:iCs/>
          <w:sz w:val="20"/>
          <w:szCs w:val="20"/>
          <w:lang w:val="es-MX" w:eastAsia="es-EC"/>
        </w:rPr>
        <w:t>“</w:t>
      </w:r>
      <w:r w:rsidRPr="00CF43F6">
        <w:rPr>
          <w:rFonts w:ascii="Century Gothic" w:eastAsia="Times New Roman" w:hAnsi="Century Gothic" w:cstheme="minorHAnsi"/>
          <w:bCs/>
          <w:i/>
          <w:iCs/>
          <w:sz w:val="20"/>
          <w:szCs w:val="20"/>
          <w:lang w:val="es-MX" w:eastAsia="es-EC"/>
        </w:rPr>
        <w:t>Las ecuatorianas y ecuatorianos gozan de los siguientes derechos: (…) 2. Participar en los asuntos de interés público.</w:t>
      </w:r>
      <w:r w:rsidR="00AD1241">
        <w:rPr>
          <w:rFonts w:ascii="Century Gothic" w:eastAsia="Times New Roman" w:hAnsi="Century Gothic" w:cstheme="minorHAnsi"/>
          <w:bCs/>
          <w:i/>
          <w:iCs/>
          <w:sz w:val="20"/>
          <w:szCs w:val="20"/>
          <w:lang w:val="es-MX" w:eastAsia="es-EC"/>
        </w:rPr>
        <w:t xml:space="preserve"> (…)</w:t>
      </w:r>
    </w:p>
    <w:p w14:paraId="2F39B4B1" w14:textId="29D56A44" w:rsidR="008A2D77" w:rsidRPr="00CF43F6" w:rsidRDefault="008A2D77" w:rsidP="008A2D77">
      <w:pPr>
        <w:spacing w:line="276" w:lineRule="auto"/>
        <w:jc w:val="both"/>
        <w:rPr>
          <w:rFonts w:ascii="Century Gothic" w:eastAsia="Times New Roman" w:hAnsi="Century Gothic" w:cstheme="minorHAnsi"/>
          <w:bCs/>
          <w:i/>
          <w:iCs/>
          <w:sz w:val="20"/>
          <w:szCs w:val="20"/>
          <w:lang w:val="es-MX" w:eastAsia="es-EC"/>
        </w:rPr>
      </w:pPr>
      <w:r w:rsidRPr="00CF43F6">
        <w:rPr>
          <w:rFonts w:ascii="Century Gothic" w:eastAsia="Times New Roman" w:hAnsi="Century Gothic" w:cstheme="minorHAnsi"/>
          <w:bCs/>
          <w:i/>
          <w:iCs/>
          <w:sz w:val="20"/>
          <w:szCs w:val="20"/>
          <w:lang w:val="es-MX" w:eastAsia="es-EC"/>
        </w:rPr>
        <w:t>5. Fiscalizar los actos del poder público. (…)”</w:t>
      </w:r>
    </w:p>
    <w:p w14:paraId="791D8742" w14:textId="77777777" w:rsidR="008A2D77" w:rsidRPr="00CF43F6" w:rsidRDefault="008A2D77" w:rsidP="008A2D77">
      <w:pPr>
        <w:spacing w:line="276" w:lineRule="auto"/>
        <w:jc w:val="both"/>
        <w:rPr>
          <w:rFonts w:ascii="Century Gothic" w:eastAsia="Times New Roman" w:hAnsi="Century Gothic" w:cstheme="minorHAnsi"/>
          <w:b/>
          <w:bCs/>
          <w:iCs/>
          <w:sz w:val="20"/>
          <w:szCs w:val="20"/>
          <w:lang w:val="es-MX" w:eastAsia="es-EC"/>
        </w:rPr>
      </w:pPr>
    </w:p>
    <w:p w14:paraId="5B181B73" w14:textId="47BECE2F"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b/>
          <w:bCs/>
          <w:iCs/>
          <w:sz w:val="20"/>
          <w:szCs w:val="20"/>
          <w:lang w:val="es-MX" w:eastAsia="es-EC"/>
        </w:rPr>
        <w:t>Artículo 95.-</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46E1F7B9"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65E95217"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100.-</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“En todos los niveles de gobierno se conformarán instancias de participación integradas por autoridades electas, representantes del régimen </w:t>
      </w:r>
      <w:r w:rsidRPr="00CF43F6">
        <w:rPr>
          <w:rFonts w:ascii="Century Gothic" w:eastAsia="Times New Roman" w:hAnsi="Century Gothic" w:cstheme="minorHAnsi"/>
          <w:i/>
          <w:iCs/>
          <w:sz w:val="20"/>
          <w:szCs w:val="20"/>
          <w:lang w:val="es-MX" w:eastAsia="es-EC"/>
        </w:rPr>
        <w:lastRenderedPageBreak/>
        <w:t xml:space="preserve">dependiente y representantes de la sociedad del ámbito territorial de cada nivel de gobierno, que funcionarán regidas por principios democráticos. La participación en estas instancias se ejerce para: </w:t>
      </w:r>
    </w:p>
    <w:p w14:paraId="42FF2D0C"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 4. Fortalecer la democracia con mecanismos permanentes de transparencia, rendición de cuentas y control social.”</w:t>
      </w:r>
    </w:p>
    <w:p w14:paraId="52700664"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EB20CC9"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b/>
          <w:bCs/>
          <w:iCs/>
          <w:sz w:val="20"/>
          <w:szCs w:val="20"/>
          <w:lang w:val="es-MX" w:eastAsia="es-EC"/>
        </w:rPr>
        <w:t>Artículo 204.-</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“El pueblo es el mandante y primer fiscalizador del poder público, en ejercicio de su derecho a la participación.” (…)</w:t>
      </w:r>
    </w:p>
    <w:p w14:paraId="7FA1486B"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6964230F"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b/>
          <w:bCs/>
          <w:iCs/>
          <w:sz w:val="20"/>
          <w:szCs w:val="20"/>
          <w:lang w:val="es-MX" w:eastAsia="es-EC"/>
        </w:rPr>
        <w:t>Artículo 208.-</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“Serán deberes y atribuciones del Consejo de Participación Ciudadana y Control Social, además de los previstos en la ley: </w:t>
      </w:r>
    </w:p>
    <w:p w14:paraId="41A1EFC2"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7C77C23C" w14:textId="77777777" w:rsidR="00E435AB" w:rsidRPr="00CF43F6" w:rsidRDefault="00E435AB" w:rsidP="005F7723">
      <w:pPr>
        <w:numPr>
          <w:ilvl w:val="0"/>
          <w:numId w:val="10"/>
        </w:num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 xml:space="preserve">Promover la participación ciudadana, estimular procesos de deliberación pública y propiciar la formación en ciudadanía, valores, transparencia y lucha contra la corrupción. </w:t>
      </w:r>
    </w:p>
    <w:p w14:paraId="1963730E" w14:textId="77777777" w:rsidR="00E435AB" w:rsidRPr="00CF43F6" w:rsidRDefault="00E435AB" w:rsidP="005F7723">
      <w:pPr>
        <w:numPr>
          <w:ilvl w:val="0"/>
          <w:numId w:val="10"/>
        </w:num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Establecer mecanismos de rendición de cuentas de las instituciones y entidades del sector público, y coadyuvar procesos de veeduría ciudadana y control social.”</w:t>
      </w:r>
    </w:p>
    <w:p w14:paraId="1741B249"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4E6157F6"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Ley Orgánica de Participación Ciudadana</w:t>
      </w:r>
    </w:p>
    <w:p w14:paraId="0778501D"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DA6108C"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88</w:t>
      </w:r>
      <w:r w:rsidRPr="00CF43F6">
        <w:rPr>
          <w:rFonts w:ascii="Century Gothic" w:eastAsia="Times New Roman" w:hAnsi="Century Gothic" w:cstheme="minorHAnsi"/>
          <w:b/>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“Derecho ciudadano a la rendición de cuentas.- Las ciudadanas y ciudadanos, en forma individual o colectiva, comunas, comunidades, pueblos y nacionalidades indígenas, pueblos afroecuatoriano y montubio, y demás formas lícitas de organización, podrán solicitar una vez al año la rendición de cuentas a las instituciones públicas o privadas que presten servicios públicos, manejen recursos públicos o desarrollen actividades de interés público, así como a los medios de comunicación social, siempre que tal rendición de cuentas no esté contemplada mediante otro procedimiento en la </w:t>
      </w:r>
      <w:r w:rsidRPr="00CF43F6">
        <w:rPr>
          <w:rFonts w:ascii="Century Gothic" w:eastAsia="Times New Roman" w:hAnsi="Century Gothic" w:cstheme="minorHAnsi"/>
          <w:i/>
          <w:iCs/>
          <w:sz w:val="20"/>
          <w:szCs w:val="20"/>
          <w:lang w:eastAsia="es-EC"/>
        </w:rPr>
        <w:t>Constitución y las leyes.”</w:t>
      </w:r>
    </w:p>
    <w:p w14:paraId="56D5A48C"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24A21B19" w14:textId="3AD8A3A9"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hAnsi="Century Gothic" w:cstheme="minorHAnsi"/>
          <w:b/>
          <w:sz w:val="20"/>
          <w:szCs w:val="20"/>
        </w:rPr>
        <w:t>Artículo 89.-</w:t>
      </w:r>
      <w:r w:rsidRPr="00CF43F6">
        <w:rPr>
          <w:rFonts w:ascii="Century Gothic" w:hAnsi="Century Gothic" w:cstheme="minorHAnsi"/>
          <w:sz w:val="20"/>
          <w:szCs w:val="20"/>
        </w:rPr>
        <w:t xml:space="preserve"> “</w:t>
      </w:r>
      <w:r w:rsidRPr="00CF43F6">
        <w:rPr>
          <w:rFonts w:ascii="Century Gothic" w:hAnsi="Century Gothic" w:cstheme="minorHAnsi"/>
          <w:i/>
          <w:sz w:val="20"/>
          <w:szCs w:val="20"/>
        </w:rPr>
        <w:t>Definición. - Se concibe la rendición de cuentas como un proceso sistemático, deliberado, interactivo y universal, que involucra a autoridades, funcionarias y funcionarios o sus representantes y representantes legales, según sea el caso, que estén obligadas u obligados a informar y someterse a evaluación de la ciudadanía por las acciones u omisiones en el ejercicio de su gestión y en la administración de recursos públicos.”</w:t>
      </w:r>
    </w:p>
    <w:p w14:paraId="79F65CE7"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7B570D6A"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90</w:t>
      </w:r>
      <w:r w:rsidRPr="00CF43F6">
        <w:rPr>
          <w:rFonts w:ascii="Century Gothic" w:eastAsia="Times New Roman" w:hAnsi="Century Gothic" w:cstheme="minorHAnsi"/>
          <w:b/>
          <w:iCs/>
          <w:sz w:val="20"/>
          <w:szCs w:val="20"/>
          <w:lang w:val="es-MX" w:eastAsia="es-EC"/>
        </w:rPr>
        <w:t>.-</w:t>
      </w:r>
      <w:r w:rsidRPr="00CF43F6">
        <w:rPr>
          <w:rFonts w:ascii="Century Gothic" w:eastAsia="Times New Roman" w:hAnsi="Century Gothic" w:cstheme="minorHAnsi"/>
          <w:i/>
          <w:iCs/>
          <w:sz w:val="20"/>
          <w:szCs w:val="20"/>
          <w:lang w:val="es-MX" w:eastAsia="es-EC"/>
        </w:rPr>
        <w:t xml:space="preserve"> “Sujetos obligados. - Las autoridades del Estado, electas o de libre remoción, representantes legales de las </w:t>
      </w:r>
      <w:r w:rsidRPr="00CF43F6">
        <w:rPr>
          <w:rFonts w:ascii="Century Gothic" w:eastAsia="Times New Roman" w:hAnsi="Century Gothic" w:cstheme="minorHAnsi"/>
          <w:i/>
          <w:iCs/>
          <w:sz w:val="20"/>
          <w:szCs w:val="20"/>
          <w:lang w:eastAsia="es-EC"/>
        </w:rPr>
        <w:t xml:space="preserve">empresas públicas o personas jurídicas del sector privado que manejen fondos públicos o desarrollen actividades de interés </w:t>
      </w:r>
      <w:r w:rsidRPr="00CF43F6">
        <w:rPr>
          <w:rFonts w:ascii="Century Gothic" w:eastAsia="Times New Roman" w:hAnsi="Century Gothic" w:cstheme="minorHAnsi"/>
          <w:i/>
          <w:iCs/>
          <w:sz w:val="20"/>
          <w:szCs w:val="20"/>
          <w:lang w:val="es-MX" w:eastAsia="es-EC"/>
        </w:rPr>
        <w:t>público, los medios de comunicación social, a través de sus representantes legales, están obligados a rendir cuentas, sin perjuicio de las responsabilidades que tienen las servidoras y los servidores públicos sobre sus actos y omisiones.” (…)</w:t>
      </w:r>
    </w:p>
    <w:p w14:paraId="55AA9351"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0BE2755A"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91. –</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Objetivos. - La rendición de cuentas tiene los siguientes objetivos:</w:t>
      </w:r>
    </w:p>
    <w:p w14:paraId="09BCB8E4"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 xml:space="preserve">1. Garantizar a los mandantes el acceso a la información de manera periódica y permanente, con respecto a la gestión </w:t>
      </w:r>
      <w:r w:rsidRPr="00CF43F6">
        <w:rPr>
          <w:rFonts w:ascii="Century Gothic" w:eastAsia="Times New Roman" w:hAnsi="Century Gothic" w:cstheme="minorHAnsi"/>
          <w:i/>
          <w:iCs/>
          <w:sz w:val="20"/>
          <w:szCs w:val="20"/>
          <w:lang w:eastAsia="es-EC"/>
        </w:rPr>
        <w:t>pública;</w:t>
      </w:r>
    </w:p>
    <w:p w14:paraId="280DC956"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lastRenderedPageBreak/>
        <w:t>2. Facilitar el ejercicio del derecho a ejecutar el control social de las acciones u omisiones de las gobernantes y los gobernantes, funcionarias y funcionarios, o de quienes manejen fondos públicos;</w:t>
      </w:r>
    </w:p>
    <w:p w14:paraId="33F1BF29"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3. Vigilar el cumplimiento de las políticas públicas; y,</w:t>
      </w:r>
    </w:p>
    <w:p w14:paraId="5C3F5658"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i/>
          <w:iCs/>
          <w:sz w:val="20"/>
          <w:szCs w:val="20"/>
          <w:lang w:val="es-MX" w:eastAsia="es-EC"/>
        </w:rPr>
        <w:t>4. Prevenir y evitar la corrupción y el mal gobierno.”</w:t>
      </w:r>
    </w:p>
    <w:p w14:paraId="04E04EA1"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2EC3E258" w14:textId="20E91E1D" w:rsidR="00E477D0" w:rsidRPr="00430932" w:rsidRDefault="00E435AB" w:rsidP="00430932">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95</w:t>
      </w:r>
      <w:r w:rsidRPr="00CF43F6">
        <w:rPr>
          <w:rFonts w:ascii="Century Gothic" w:eastAsia="Times New Roman" w:hAnsi="Century Gothic" w:cstheme="minorHAnsi"/>
          <w:b/>
          <w:iCs/>
          <w:sz w:val="20"/>
          <w:szCs w:val="20"/>
          <w:lang w:val="es-MX" w:eastAsia="es-EC"/>
        </w:rPr>
        <w:t>.-</w:t>
      </w:r>
      <w:r w:rsidRPr="00CF43F6">
        <w:rPr>
          <w:rFonts w:ascii="Century Gothic" w:eastAsia="Times New Roman" w:hAnsi="Century Gothic" w:cstheme="minorHAnsi"/>
          <w:i/>
          <w:iCs/>
          <w:sz w:val="20"/>
          <w:szCs w:val="20"/>
          <w:lang w:val="es-MX" w:eastAsia="es-EC"/>
        </w:rPr>
        <w:t xml:space="preserve"> “Periodicidad. - La rendición de cuentas se realizará una vez al año y al final de la gestión, teniendo en consideración las solicitudes que realice la ciudadanía, de manera individual o colectiva, de acuerdo con la Constitución y la </w:t>
      </w:r>
      <w:r w:rsidRPr="00CF43F6">
        <w:rPr>
          <w:rFonts w:ascii="Century Gothic" w:eastAsia="Times New Roman" w:hAnsi="Century Gothic" w:cstheme="minorHAnsi"/>
          <w:i/>
          <w:iCs/>
          <w:sz w:val="20"/>
          <w:szCs w:val="20"/>
          <w:lang w:eastAsia="es-EC"/>
        </w:rPr>
        <w:t>ley.”</w:t>
      </w:r>
    </w:p>
    <w:p w14:paraId="446CB012" w14:textId="77777777" w:rsidR="00E477D0" w:rsidRPr="00CF43F6" w:rsidRDefault="00E477D0" w:rsidP="005F7723">
      <w:pPr>
        <w:spacing w:line="276" w:lineRule="auto"/>
        <w:rPr>
          <w:rFonts w:ascii="Century Gothic" w:eastAsia="Times New Roman" w:hAnsi="Century Gothic" w:cstheme="minorHAnsi"/>
          <w:b/>
          <w:iCs/>
          <w:sz w:val="20"/>
          <w:szCs w:val="20"/>
          <w:lang w:eastAsia="es-EC"/>
        </w:rPr>
      </w:pPr>
    </w:p>
    <w:p w14:paraId="3665DD19" w14:textId="02D26622"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Ley Orgánica del Consejo de Participación Ciudadana y Control Social</w:t>
      </w:r>
    </w:p>
    <w:p w14:paraId="7CDFC645"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FC63C21" w14:textId="036079B1" w:rsidR="00E435AB" w:rsidRPr="00CF43F6" w:rsidRDefault="00E435AB" w:rsidP="005F7723">
      <w:pPr>
        <w:spacing w:line="276" w:lineRule="auto"/>
        <w:jc w:val="both"/>
        <w:rPr>
          <w:rFonts w:ascii="Century Gothic" w:eastAsia="Times New Roman" w:hAnsi="Century Gothic" w:cstheme="minorHAnsi"/>
          <w:iCs/>
          <w:sz w:val="20"/>
          <w:szCs w:val="20"/>
          <w:lang w:eastAsia="es-EC"/>
        </w:rPr>
      </w:pPr>
      <w:r w:rsidRPr="00CF43F6">
        <w:rPr>
          <w:rFonts w:ascii="Century Gothic" w:eastAsia="Times New Roman" w:hAnsi="Century Gothic" w:cstheme="minorHAnsi"/>
          <w:b/>
          <w:iCs/>
          <w:sz w:val="20"/>
          <w:szCs w:val="20"/>
          <w:lang w:eastAsia="es-EC"/>
        </w:rPr>
        <w:t>Art</w:t>
      </w:r>
      <w:r w:rsidR="000C0847">
        <w:rPr>
          <w:rFonts w:ascii="Century Gothic" w:eastAsia="Times New Roman" w:hAnsi="Century Gothic" w:cstheme="minorHAnsi"/>
          <w:b/>
          <w:iCs/>
          <w:sz w:val="20"/>
          <w:szCs w:val="20"/>
          <w:lang w:eastAsia="es-EC"/>
        </w:rPr>
        <w:t>ículo</w:t>
      </w:r>
      <w:r w:rsidRPr="00CF43F6">
        <w:rPr>
          <w:rFonts w:ascii="Century Gothic" w:eastAsia="Times New Roman" w:hAnsi="Century Gothic" w:cstheme="minorHAnsi"/>
          <w:b/>
          <w:iCs/>
          <w:sz w:val="20"/>
          <w:szCs w:val="20"/>
          <w:lang w:eastAsia="es-EC"/>
        </w:rPr>
        <w:t xml:space="preserve"> 9.- </w:t>
      </w:r>
      <w:r w:rsidRPr="00CF43F6">
        <w:rPr>
          <w:rFonts w:ascii="Century Gothic" w:eastAsia="Times New Roman" w:hAnsi="Century Gothic" w:cstheme="minorHAnsi"/>
          <w:i/>
          <w:iCs/>
          <w:sz w:val="20"/>
          <w:szCs w:val="20"/>
          <w:lang w:eastAsia="es-EC"/>
        </w:rPr>
        <w:t>“Rendición de cuentas.- Es atribución del Consejo de Participación Ciudadana y Control Social establecer mecanismos para someter a evaluación de la sociedad, las acciones del Estado y de las personas jurídicas del sector privado que presten servicios públicos, manejen recursos públicos o desarrollen actividades de interés público; con atención al enfoque de derechos, a los resultados esperados y obtenidos, a los recursos financieros empleados y a los métodos utilizados sobre su gestión.”</w:t>
      </w:r>
    </w:p>
    <w:p w14:paraId="62FD8997"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33944A43" w14:textId="4681B298" w:rsidR="00E435AB" w:rsidRPr="00CF43F6" w:rsidRDefault="000C0847" w:rsidP="005F7723">
      <w:pPr>
        <w:spacing w:line="276" w:lineRule="auto"/>
        <w:jc w:val="both"/>
        <w:rPr>
          <w:rFonts w:ascii="Century Gothic" w:hAnsi="Century Gothic" w:cstheme="minorHAnsi"/>
          <w:i/>
          <w:sz w:val="20"/>
          <w:szCs w:val="20"/>
        </w:rPr>
      </w:pPr>
      <w:r>
        <w:rPr>
          <w:rFonts w:ascii="Century Gothic" w:hAnsi="Century Gothic" w:cstheme="minorHAnsi"/>
          <w:b/>
          <w:sz w:val="20"/>
          <w:szCs w:val="20"/>
        </w:rPr>
        <w:t>Artículo</w:t>
      </w:r>
      <w:r w:rsidR="00E435AB" w:rsidRPr="00CF43F6">
        <w:rPr>
          <w:rFonts w:ascii="Century Gothic" w:hAnsi="Century Gothic" w:cstheme="minorHAnsi"/>
          <w:b/>
          <w:sz w:val="20"/>
          <w:szCs w:val="20"/>
        </w:rPr>
        <w:t xml:space="preserve"> 10.-</w:t>
      </w:r>
      <w:r w:rsidR="00E435AB" w:rsidRPr="00CF43F6">
        <w:rPr>
          <w:rFonts w:ascii="Century Gothic" w:hAnsi="Century Gothic" w:cstheme="minorHAnsi"/>
          <w:sz w:val="20"/>
          <w:szCs w:val="20"/>
        </w:rPr>
        <w:t xml:space="preserve"> </w:t>
      </w:r>
      <w:r w:rsidR="00E435AB" w:rsidRPr="00CF43F6">
        <w:rPr>
          <w:rFonts w:ascii="Century Gothic" w:hAnsi="Century Gothic" w:cstheme="minorHAnsi"/>
          <w:i/>
          <w:sz w:val="20"/>
          <w:szCs w:val="20"/>
        </w:rPr>
        <w:t xml:space="preserve">“Contenido de la rendición de cuentas. - El proceso de rendición de cuentas deberá contener al menos lo siguiente: </w:t>
      </w:r>
    </w:p>
    <w:p w14:paraId="5AF1AF1A"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1. Cumplimiento de políticas, planes, programas y proyectos. </w:t>
      </w:r>
    </w:p>
    <w:p w14:paraId="04D74C38"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2. Ejecución del presupuesto institucional. </w:t>
      </w:r>
    </w:p>
    <w:p w14:paraId="5293B6AA"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3. Cumplimiento de los objetivos y el plan estratégico de la entidad. </w:t>
      </w:r>
    </w:p>
    <w:p w14:paraId="07D38C0D"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4. Procesos de contratación pública. </w:t>
      </w:r>
    </w:p>
    <w:p w14:paraId="59B07E9A"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5. Cumplimiento de recomendaciones o pronunciamientos emanados por las entidades de la Función de Transparencia y Control Social y la Procuraduría General del Estado. </w:t>
      </w:r>
    </w:p>
    <w:p w14:paraId="62F5B668"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6. Cumplimiento del plan de trabajo presentado ante el Consejo Nacional Electoral, en el caso de las autoridades de elección popular. </w:t>
      </w:r>
    </w:p>
    <w:p w14:paraId="0763932B"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7. En el caso de las empresas públicas y de las personas jurídicas del sector privado que presten servicios públicos, manejen recursos públicos o desarrollen actividades de interés público deberán presentar balances anuales y niveles de cumplimiento de obligaciones laborales, tributarias y cumplimiento de objetivos. </w:t>
      </w:r>
    </w:p>
    <w:p w14:paraId="121194DE"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8. Las demás que sean de trascendencia para el interés colectivo.” </w:t>
      </w:r>
    </w:p>
    <w:p w14:paraId="4788BD9F" w14:textId="77777777" w:rsidR="00E435AB" w:rsidRPr="00CF43F6" w:rsidRDefault="00E435AB" w:rsidP="005F7723">
      <w:pPr>
        <w:spacing w:line="276" w:lineRule="auto"/>
        <w:jc w:val="both"/>
        <w:rPr>
          <w:rFonts w:ascii="Century Gothic" w:hAnsi="Century Gothic" w:cstheme="minorHAnsi"/>
          <w:sz w:val="20"/>
          <w:szCs w:val="20"/>
        </w:rPr>
      </w:pPr>
    </w:p>
    <w:p w14:paraId="63DF66B5" w14:textId="21433AA4" w:rsidR="00E435AB" w:rsidRPr="00CF43F6" w:rsidRDefault="000C0847" w:rsidP="005F7723">
      <w:pPr>
        <w:spacing w:line="276" w:lineRule="auto"/>
        <w:jc w:val="both"/>
        <w:rPr>
          <w:rFonts w:ascii="Century Gothic" w:hAnsi="Century Gothic" w:cstheme="minorHAnsi"/>
          <w:i/>
          <w:sz w:val="20"/>
          <w:szCs w:val="20"/>
        </w:rPr>
      </w:pPr>
      <w:r>
        <w:rPr>
          <w:rFonts w:ascii="Century Gothic" w:hAnsi="Century Gothic" w:cstheme="minorHAnsi"/>
          <w:b/>
          <w:sz w:val="20"/>
          <w:szCs w:val="20"/>
        </w:rPr>
        <w:t xml:space="preserve">Artículo </w:t>
      </w:r>
      <w:r w:rsidR="00E435AB" w:rsidRPr="00CF43F6">
        <w:rPr>
          <w:rFonts w:ascii="Century Gothic" w:hAnsi="Century Gothic" w:cstheme="minorHAnsi"/>
          <w:b/>
          <w:sz w:val="20"/>
          <w:szCs w:val="20"/>
        </w:rPr>
        <w:t>11.-</w:t>
      </w:r>
      <w:r w:rsidR="00E435AB" w:rsidRPr="00CF43F6">
        <w:rPr>
          <w:rFonts w:ascii="Century Gothic" w:hAnsi="Century Gothic" w:cstheme="minorHAnsi"/>
          <w:sz w:val="20"/>
          <w:szCs w:val="20"/>
        </w:rPr>
        <w:t xml:space="preserve"> </w:t>
      </w:r>
      <w:r w:rsidR="00E435AB" w:rsidRPr="00CF43F6">
        <w:rPr>
          <w:rFonts w:ascii="Century Gothic" w:hAnsi="Century Gothic" w:cstheme="minorHAnsi"/>
          <w:i/>
          <w:sz w:val="20"/>
          <w:szCs w:val="20"/>
        </w:rPr>
        <w:t xml:space="preserve">“Obligados a rendir cuentas. - Tienen la obligación de rendir cuentas las autoridades del Estado electas o de libre remoción, representantes legales de empresas públicas o personas jurídicas del sector privado que manejen fondos públicos o desarrollen actividades de interés público, sin perjuicio de la responsabilidad que tienen las y los servidores públicos sobre sus actos u omisiones. </w:t>
      </w:r>
    </w:p>
    <w:p w14:paraId="0C7427D1" w14:textId="77777777" w:rsidR="00E435AB" w:rsidRPr="00CF43F6" w:rsidRDefault="00E435AB" w:rsidP="005F7723">
      <w:pPr>
        <w:spacing w:line="276" w:lineRule="auto"/>
        <w:jc w:val="both"/>
        <w:rPr>
          <w:rFonts w:ascii="Century Gothic" w:hAnsi="Century Gothic" w:cstheme="minorHAnsi"/>
          <w:i/>
          <w:sz w:val="20"/>
          <w:szCs w:val="20"/>
        </w:rPr>
      </w:pPr>
    </w:p>
    <w:p w14:paraId="5F282C47" w14:textId="77777777" w:rsidR="00E435AB" w:rsidRPr="00CF43F6" w:rsidRDefault="00E435AB" w:rsidP="005F7723">
      <w:pPr>
        <w:spacing w:line="276" w:lineRule="auto"/>
        <w:jc w:val="both"/>
        <w:rPr>
          <w:rFonts w:ascii="Century Gothic" w:hAnsi="Century Gothic" w:cstheme="minorHAnsi"/>
          <w:i/>
          <w:sz w:val="20"/>
          <w:szCs w:val="20"/>
        </w:rPr>
      </w:pPr>
      <w:r w:rsidRPr="00CF43F6">
        <w:rPr>
          <w:rFonts w:ascii="Century Gothic" w:hAnsi="Century Gothic" w:cstheme="minorHAnsi"/>
          <w:i/>
          <w:sz w:val="20"/>
          <w:szCs w:val="20"/>
        </w:rPr>
        <w:t>En caso de incumplimiento por parte de las instituciones y entidades del sector público, el Consejo de Participación Ciudadana y Control Social remitirá la queja a la Contraloría General del Estado para que inicie el proceso de investigación sobre la gestión de las autoridades obligadas, sin perjuicio de las sanciones previstas en la Ley Orgánica de Transparencia y Acceso a la Información Pública por la negación de información.”</w:t>
      </w:r>
    </w:p>
    <w:p w14:paraId="23379834" w14:textId="77777777" w:rsidR="00E435AB" w:rsidRPr="00CF43F6" w:rsidRDefault="00E435AB" w:rsidP="005F7723">
      <w:pPr>
        <w:spacing w:line="276" w:lineRule="auto"/>
        <w:jc w:val="both"/>
        <w:rPr>
          <w:rFonts w:ascii="Century Gothic" w:hAnsi="Century Gothic" w:cstheme="minorHAnsi"/>
          <w:i/>
          <w:sz w:val="20"/>
          <w:szCs w:val="20"/>
        </w:rPr>
      </w:pPr>
    </w:p>
    <w:p w14:paraId="26D6D8C3" w14:textId="4E028A14" w:rsidR="00E435AB" w:rsidRPr="00CF43F6" w:rsidRDefault="000C0847" w:rsidP="005F7723">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b/>
          <w:i/>
          <w:iCs/>
          <w:sz w:val="20"/>
          <w:szCs w:val="20"/>
          <w:lang w:eastAsia="es-EC"/>
        </w:rPr>
        <w:lastRenderedPageBreak/>
        <w:t xml:space="preserve">Artículo </w:t>
      </w:r>
      <w:r w:rsidR="00E435AB" w:rsidRPr="00CF43F6">
        <w:rPr>
          <w:rFonts w:ascii="Century Gothic" w:eastAsia="Times New Roman" w:hAnsi="Century Gothic" w:cstheme="minorHAnsi"/>
          <w:b/>
          <w:i/>
          <w:iCs/>
          <w:sz w:val="20"/>
          <w:szCs w:val="20"/>
          <w:lang w:eastAsia="es-EC"/>
        </w:rPr>
        <w:t>12.-</w:t>
      </w:r>
      <w:r w:rsidR="00E435AB" w:rsidRPr="00CF43F6">
        <w:rPr>
          <w:rFonts w:ascii="Century Gothic" w:eastAsia="Times New Roman" w:hAnsi="Century Gothic" w:cstheme="minorHAnsi"/>
          <w:i/>
          <w:iCs/>
          <w:sz w:val="20"/>
          <w:szCs w:val="20"/>
          <w:lang w:eastAsia="es-EC"/>
        </w:rPr>
        <w:t xml:space="preserve"> “Monitoreo a la rendición de cuentas. - El Consejo deberá realizar acciones de monitoreo y seguimiento periódico a los procesos de rendición de cuentas concertados con las instituciones y la ciudadanía; analizar los métodos utilizados, la calidad de la información obtenida y formular recomendaciones.</w:t>
      </w:r>
    </w:p>
    <w:p w14:paraId="1B466A76"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776EFE7D"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eastAsia="es-EC"/>
        </w:rPr>
        <w:t>Los informes de rendición de cuentas de las instituciones y entidades del sector público, serán remitidos al Consejo de Participación Ciudadana y Control Social en el plazo de treinta días posteriores a la fecha de presentación del informe, a fin de que se verifique el cumplimiento de la obligación y también se difunda a través de los mecanismos de los que dispone el Consejo.”</w:t>
      </w:r>
      <w:r w:rsidRPr="00CF43F6">
        <w:rPr>
          <w:rFonts w:ascii="Century Gothic" w:eastAsia="Times New Roman" w:hAnsi="Century Gothic" w:cstheme="minorHAnsi"/>
          <w:i/>
          <w:iCs/>
          <w:sz w:val="20"/>
          <w:szCs w:val="20"/>
          <w:lang w:eastAsia="es-EC"/>
        </w:rPr>
        <w:cr/>
      </w:r>
    </w:p>
    <w:p w14:paraId="78260881"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Código Orgánico de Organización Territorial, Autonomía y Descentralización</w:t>
      </w:r>
    </w:p>
    <w:p w14:paraId="662129E2"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150A808"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iCs/>
          <w:sz w:val="20"/>
          <w:szCs w:val="20"/>
          <w:lang w:val="es-MX" w:eastAsia="es-EC"/>
        </w:rPr>
        <w:t>Artículo 304.-</w:t>
      </w:r>
      <w:r w:rsidRPr="00CF43F6">
        <w:rPr>
          <w:rFonts w:ascii="Century Gothic" w:eastAsia="Times New Roman" w:hAnsi="Century Gothic" w:cstheme="minorHAnsi"/>
          <w:i/>
          <w:iCs/>
          <w:sz w:val="20"/>
          <w:szCs w:val="20"/>
          <w:lang w:val="es-MX" w:eastAsia="es-EC"/>
        </w:rPr>
        <w:t xml:space="preserve"> “Sistema de participación ciudadana. - Los gobiernos autónomos descentralizados conformarán un sistema de participación ciudadana, que se regulará por acto normativo del correspondiente nivel de gobierno, tendrá una estructura y denominación propias. El sistema de participación ciudadana se constituye para:</w:t>
      </w:r>
      <w:r w:rsidRPr="00CF43F6">
        <w:rPr>
          <w:rFonts w:ascii="Century Gothic" w:eastAsia="Times New Roman" w:hAnsi="Century Gothic" w:cstheme="minorHAnsi"/>
          <w:i/>
          <w:iCs/>
          <w:sz w:val="20"/>
          <w:szCs w:val="20"/>
          <w:lang w:eastAsia="es-EC"/>
        </w:rPr>
        <w:t xml:space="preserve"> </w:t>
      </w:r>
    </w:p>
    <w:p w14:paraId="2E4B0815"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0F81EAEB"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i/>
          <w:iCs/>
          <w:sz w:val="20"/>
          <w:szCs w:val="20"/>
          <w:lang w:val="es-MX" w:eastAsia="es-EC"/>
        </w:rPr>
        <w:t>f) Fortalecer la democracia local con mecanismos permanentes de transparencia, rendición de cuentas y control social.” (…)</w:t>
      </w:r>
    </w:p>
    <w:p w14:paraId="45E5E910" w14:textId="618B09BE"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02AEA46" w14:textId="7D291048"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Resolución No. CPCCS-PLE-SG-069-2021-476</w:t>
      </w:r>
      <w:r w:rsidR="00DC5570">
        <w:rPr>
          <w:rFonts w:ascii="Century Gothic" w:eastAsia="Times New Roman" w:hAnsi="Century Gothic" w:cstheme="minorHAnsi"/>
          <w:b/>
          <w:iCs/>
          <w:sz w:val="20"/>
          <w:szCs w:val="20"/>
          <w:lang w:eastAsia="es-EC"/>
        </w:rPr>
        <w:t>, Reglamento de Rendición de Cuentas,</w:t>
      </w:r>
      <w:r w:rsidRPr="00CF43F6">
        <w:rPr>
          <w:rFonts w:ascii="Century Gothic" w:eastAsia="Times New Roman" w:hAnsi="Century Gothic" w:cstheme="minorHAnsi"/>
          <w:b/>
          <w:iCs/>
          <w:sz w:val="20"/>
          <w:szCs w:val="20"/>
          <w:lang w:eastAsia="es-EC"/>
        </w:rPr>
        <w:t xml:space="preserve"> del Consejo de Participación Ciudadana y Control Social</w:t>
      </w:r>
    </w:p>
    <w:p w14:paraId="296A42A4"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6C8B64CB" w14:textId="2FD4CF95" w:rsidR="00E435AB" w:rsidRPr="00CF43F6" w:rsidRDefault="00E40B20" w:rsidP="005F7723">
      <w:pPr>
        <w:spacing w:line="276" w:lineRule="auto"/>
        <w:jc w:val="both"/>
        <w:rPr>
          <w:rFonts w:ascii="Century Gothic" w:eastAsia="Times New Roman" w:hAnsi="Century Gothic" w:cstheme="minorHAnsi"/>
          <w:iCs/>
          <w:sz w:val="20"/>
          <w:szCs w:val="20"/>
          <w:lang w:eastAsia="es-EC"/>
        </w:rPr>
      </w:pPr>
      <w:r>
        <w:rPr>
          <w:rFonts w:ascii="Century Gothic" w:eastAsia="Times New Roman" w:hAnsi="Century Gothic" w:cstheme="minorHAnsi"/>
          <w:b/>
          <w:iCs/>
          <w:sz w:val="20"/>
          <w:szCs w:val="20"/>
          <w:lang w:eastAsia="es-EC"/>
        </w:rPr>
        <w:t xml:space="preserve">Artículo </w:t>
      </w:r>
      <w:r w:rsidR="00E435AB" w:rsidRPr="00CF43F6">
        <w:rPr>
          <w:rFonts w:ascii="Century Gothic" w:eastAsia="Times New Roman" w:hAnsi="Century Gothic" w:cstheme="minorHAnsi"/>
          <w:b/>
          <w:iCs/>
          <w:sz w:val="20"/>
          <w:szCs w:val="20"/>
          <w:lang w:eastAsia="es-EC"/>
        </w:rPr>
        <w:t xml:space="preserve">4.- </w:t>
      </w:r>
      <w:r w:rsidR="00E435AB" w:rsidRPr="00CF43F6">
        <w:rPr>
          <w:rFonts w:ascii="Century Gothic" w:eastAsia="Times New Roman" w:hAnsi="Century Gothic" w:cstheme="minorHAnsi"/>
          <w:b/>
          <w:i/>
          <w:iCs/>
          <w:sz w:val="20"/>
          <w:szCs w:val="20"/>
          <w:lang w:eastAsia="es-EC"/>
        </w:rPr>
        <w:t xml:space="preserve">“Rendición de cuentas. - </w:t>
      </w:r>
      <w:r w:rsidR="00E435AB" w:rsidRPr="00CF43F6">
        <w:rPr>
          <w:rFonts w:ascii="Century Gothic" w:eastAsia="Times New Roman" w:hAnsi="Century Gothic" w:cstheme="minorHAnsi"/>
          <w:i/>
          <w:iCs/>
          <w:sz w:val="20"/>
          <w:szCs w:val="20"/>
          <w:lang w:eastAsia="es-EC"/>
        </w:rPr>
        <w:t>La rendición de cuentas es un proceso participativo, periódico, oportuno, claro y veraz, con información precisa, suficiente y con lenguaje asequible, que permite someter a evaluación de la ciudadanía la gestión de lo público. La rendición de cuentas se realizará al menos una vez al año y su convocatoria será amplia, a todos los sectores de la sociedad relacionados y debidamente publicitada.”</w:t>
      </w:r>
      <w:r w:rsidR="00E435AB" w:rsidRPr="00CF43F6">
        <w:rPr>
          <w:rFonts w:ascii="Century Gothic" w:eastAsia="Times New Roman" w:hAnsi="Century Gothic" w:cstheme="minorHAnsi"/>
          <w:iCs/>
          <w:sz w:val="20"/>
          <w:szCs w:val="20"/>
          <w:lang w:eastAsia="es-EC"/>
        </w:rPr>
        <w:t xml:space="preserve"> </w:t>
      </w:r>
    </w:p>
    <w:p w14:paraId="3AA6AA12"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224D22F4" w14:textId="49D81EA7" w:rsidR="00120AB7" w:rsidRPr="00CF43F6" w:rsidRDefault="00E40B20" w:rsidP="00CF43F6">
      <w:pPr>
        <w:spacing w:line="276" w:lineRule="auto"/>
        <w:jc w:val="both"/>
        <w:rPr>
          <w:rFonts w:ascii="Century Gothic" w:hAnsi="Century Gothic" w:cstheme="minorHAnsi"/>
          <w:b/>
          <w:sz w:val="20"/>
          <w:szCs w:val="20"/>
        </w:rPr>
      </w:pPr>
      <w:r>
        <w:rPr>
          <w:rFonts w:ascii="Century Gothic" w:eastAsia="Times New Roman" w:hAnsi="Century Gothic" w:cstheme="minorHAnsi"/>
          <w:b/>
          <w:iCs/>
          <w:sz w:val="20"/>
          <w:szCs w:val="20"/>
          <w:lang w:eastAsia="es-EC"/>
        </w:rPr>
        <w:t xml:space="preserve">Artículo </w:t>
      </w:r>
      <w:r w:rsidR="00E435AB" w:rsidRPr="00CF43F6">
        <w:rPr>
          <w:rFonts w:ascii="Century Gothic" w:eastAsia="Times New Roman" w:hAnsi="Century Gothic" w:cstheme="minorHAnsi"/>
          <w:b/>
          <w:iCs/>
          <w:sz w:val="20"/>
          <w:szCs w:val="20"/>
          <w:lang w:eastAsia="es-EC"/>
        </w:rPr>
        <w:t>6.- “</w:t>
      </w:r>
      <w:r w:rsidR="00E435AB" w:rsidRPr="00CF43F6">
        <w:rPr>
          <w:rFonts w:ascii="Century Gothic" w:eastAsia="Times New Roman" w:hAnsi="Century Gothic" w:cstheme="minorHAnsi"/>
          <w:b/>
          <w:i/>
          <w:iCs/>
          <w:sz w:val="20"/>
          <w:szCs w:val="20"/>
          <w:lang w:eastAsia="es-EC"/>
        </w:rPr>
        <w:t>Periodo de Rendición de cuentas:</w:t>
      </w:r>
      <w:r w:rsidR="00E435AB" w:rsidRPr="00CF43F6">
        <w:rPr>
          <w:rFonts w:ascii="Century Gothic" w:eastAsia="Times New Roman" w:hAnsi="Century Gothic" w:cstheme="minorHAnsi"/>
          <w:i/>
          <w:iCs/>
          <w:sz w:val="20"/>
          <w:szCs w:val="20"/>
          <w:lang w:eastAsia="es-EC"/>
        </w:rPr>
        <w:t xml:space="preserve"> Los sujetos que tengan esta obligación deberán rendir cuentas del periodo fiscal concluido, es decir, del 1 de enero al 31 de dici</w:t>
      </w:r>
      <w:r w:rsidR="00CF43F6" w:rsidRPr="00CF43F6">
        <w:rPr>
          <w:rFonts w:ascii="Century Gothic" w:eastAsia="Times New Roman" w:hAnsi="Century Gothic" w:cstheme="minorHAnsi"/>
          <w:i/>
          <w:iCs/>
          <w:sz w:val="20"/>
          <w:szCs w:val="20"/>
          <w:lang w:eastAsia="es-EC"/>
        </w:rPr>
        <w:t>embre, de acuerdo a la ley. (…</w:t>
      </w:r>
      <w:r w:rsidR="00E435AB" w:rsidRPr="00CF43F6">
        <w:rPr>
          <w:rFonts w:ascii="Century Gothic" w:eastAsia="Times New Roman" w:hAnsi="Century Gothic" w:cstheme="minorHAnsi"/>
          <w:i/>
          <w:iCs/>
          <w:sz w:val="20"/>
          <w:szCs w:val="20"/>
          <w:lang w:eastAsia="es-EC"/>
        </w:rPr>
        <w:t>)”</w:t>
      </w:r>
    </w:p>
    <w:p w14:paraId="0FCE60F0" w14:textId="69021A71" w:rsidR="00E435AB" w:rsidRPr="00CF43F6" w:rsidRDefault="00E435AB" w:rsidP="005F7723">
      <w:pPr>
        <w:spacing w:line="276" w:lineRule="auto"/>
        <w:rPr>
          <w:rFonts w:ascii="Century Gothic" w:hAnsi="Century Gothic" w:cstheme="minorHAnsi"/>
          <w:b/>
          <w:sz w:val="20"/>
          <w:szCs w:val="20"/>
        </w:rPr>
      </w:pPr>
    </w:p>
    <w:p w14:paraId="05F27D4D" w14:textId="77777777" w:rsidR="00CF43F6" w:rsidRPr="00CF43F6" w:rsidRDefault="00CF43F6" w:rsidP="00CF43F6">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Artículo 12, fase 2: Evaluación de la gestión y elaboración del Informe Institucional</w:t>
      </w:r>
    </w:p>
    <w:p w14:paraId="42BDB2E3" w14:textId="77777777" w:rsidR="00CF43F6" w:rsidRPr="00CF43F6" w:rsidRDefault="00CF43F6" w:rsidP="00CF43F6">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eastAsia="es-EC"/>
        </w:rPr>
        <w:t>(…) “b): A partir del resultado de la evaluación de la gestión, la institución/ autoridad llenará el formulario de Rendición de Cuentas con sus respectivos medios de verificación y redactará el Informe de Rendición de Cuentas Preliminar, de acuerdo a los contenidos obligatorios, y respondiendo a los temas sobre los cuales la ciudadanía solicitó que rinda cuentas.”</w:t>
      </w:r>
    </w:p>
    <w:p w14:paraId="028485FC" w14:textId="77777777" w:rsidR="00CF43F6" w:rsidRPr="00CF43F6" w:rsidRDefault="00CF43F6" w:rsidP="00CF43F6">
      <w:pPr>
        <w:spacing w:line="276" w:lineRule="auto"/>
        <w:jc w:val="both"/>
        <w:rPr>
          <w:rFonts w:ascii="Century Gothic" w:eastAsia="Times New Roman" w:hAnsi="Century Gothic" w:cstheme="minorHAnsi"/>
          <w:i/>
          <w:iCs/>
          <w:sz w:val="20"/>
          <w:szCs w:val="20"/>
          <w:lang w:eastAsia="es-EC"/>
        </w:rPr>
      </w:pPr>
    </w:p>
    <w:p w14:paraId="10BD5C9C" w14:textId="3114CE05" w:rsidR="00CF43F6" w:rsidRPr="00CF43F6" w:rsidRDefault="00CF43F6" w:rsidP="00CF43F6">
      <w:pPr>
        <w:spacing w:line="276" w:lineRule="auto"/>
        <w:rPr>
          <w:rFonts w:ascii="Century Gothic" w:hAnsi="Century Gothic" w:cstheme="minorHAnsi"/>
          <w:b/>
          <w:sz w:val="20"/>
          <w:szCs w:val="20"/>
        </w:rPr>
      </w:pPr>
      <w:r w:rsidRPr="00CF43F6">
        <w:rPr>
          <w:rFonts w:ascii="Century Gothic" w:eastAsia="Times New Roman" w:hAnsi="Century Gothic" w:cstheme="minorHAnsi"/>
          <w:i/>
          <w:iCs/>
          <w:sz w:val="20"/>
          <w:szCs w:val="20"/>
          <w:lang w:eastAsia="es-EC"/>
        </w:rPr>
        <w:t>c) Estos documentos deberán ser aprobados por la máxima autoridad del GAD o de la entidad vinculada y se entregarán a la Asamblea Ciudadana Local o a quien hiciera sus veces en el proceso, con por lo menos 15 días antes de la deliberación. (…)”</w:t>
      </w:r>
    </w:p>
    <w:p w14:paraId="6AC440B0" w14:textId="40BEED9C" w:rsidR="00CF43F6" w:rsidRDefault="00CF43F6" w:rsidP="005F7723">
      <w:pPr>
        <w:spacing w:line="276" w:lineRule="auto"/>
        <w:rPr>
          <w:rFonts w:ascii="Century Gothic" w:hAnsi="Century Gothic" w:cstheme="minorHAnsi"/>
          <w:b/>
          <w:sz w:val="20"/>
          <w:szCs w:val="20"/>
        </w:rPr>
      </w:pPr>
    </w:p>
    <w:p w14:paraId="72C15D0C" w14:textId="4B2F4F20" w:rsidR="00CF43F6" w:rsidRDefault="00CF43F6" w:rsidP="00CF43F6">
      <w:pPr>
        <w:spacing w:line="276" w:lineRule="auto"/>
        <w:jc w:val="both"/>
        <w:rPr>
          <w:rFonts w:ascii="Century Gothic" w:eastAsia="Times New Roman" w:hAnsi="Century Gothic" w:cstheme="minorHAnsi"/>
          <w:b/>
          <w:iCs/>
          <w:sz w:val="20"/>
          <w:szCs w:val="20"/>
          <w:lang w:eastAsia="es-EC"/>
        </w:rPr>
      </w:pPr>
      <w:r>
        <w:rPr>
          <w:rFonts w:ascii="Century Gothic" w:eastAsia="Times New Roman" w:hAnsi="Century Gothic" w:cstheme="minorHAnsi"/>
          <w:b/>
          <w:iCs/>
          <w:sz w:val="20"/>
          <w:szCs w:val="20"/>
          <w:lang w:eastAsia="es-EC"/>
        </w:rPr>
        <w:t>Fase 3: Deliberación pública y evaluación ciudadana del Informe Institucional</w:t>
      </w:r>
    </w:p>
    <w:p w14:paraId="70FB5BD5" w14:textId="77777777" w:rsidR="003E379D" w:rsidRDefault="003E379D" w:rsidP="00CF43F6">
      <w:pPr>
        <w:spacing w:line="276" w:lineRule="auto"/>
        <w:jc w:val="both"/>
        <w:rPr>
          <w:rFonts w:ascii="Century Gothic" w:eastAsia="Times New Roman" w:hAnsi="Century Gothic" w:cstheme="minorHAnsi"/>
          <w:b/>
          <w:iCs/>
          <w:sz w:val="20"/>
          <w:szCs w:val="20"/>
          <w:lang w:eastAsia="es-EC"/>
        </w:rPr>
      </w:pPr>
    </w:p>
    <w:p w14:paraId="7F1B9136" w14:textId="77777777" w:rsidR="00CF43F6" w:rsidRDefault="00CF43F6" w:rsidP="00CF43F6">
      <w:pPr>
        <w:spacing w:line="276" w:lineRule="auto"/>
        <w:jc w:val="both"/>
        <w:rPr>
          <w:rFonts w:ascii="Century Gothic" w:eastAsia="Times New Roman" w:hAnsi="Century Gothic" w:cstheme="minorHAnsi"/>
          <w:i/>
          <w:iCs/>
          <w:sz w:val="20"/>
          <w:szCs w:val="20"/>
          <w:lang w:eastAsia="es-EC"/>
        </w:rPr>
      </w:pPr>
      <w:r w:rsidRPr="00E76595">
        <w:rPr>
          <w:rFonts w:ascii="Century Gothic" w:eastAsia="Times New Roman" w:hAnsi="Century Gothic" w:cstheme="minorHAnsi"/>
          <w:iCs/>
          <w:sz w:val="20"/>
          <w:szCs w:val="20"/>
          <w:lang w:eastAsia="es-EC"/>
        </w:rPr>
        <w:lastRenderedPageBreak/>
        <w:t>(…) “</w:t>
      </w:r>
      <w:r w:rsidRPr="00E76595">
        <w:rPr>
          <w:rFonts w:ascii="Century Gothic" w:eastAsia="Times New Roman" w:hAnsi="Century Gothic" w:cstheme="minorHAnsi"/>
          <w:i/>
          <w:iCs/>
          <w:sz w:val="20"/>
          <w:szCs w:val="20"/>
          <w:lang w:eastAsia="es-EC"/>
        </w:rPr>
        <w:t>b) El GAD y cada una de sus entidades vinculadas deberán difundir ampliamente su informe, su formulario de rendición de cuentas con los links respectivos; así como, la fecha, el lugar y la hora en que se realizará el evento de deliberación pública por todos los medios digitales y presenciales que disponga con por lo menos 15 días de anticipación. En el caso de los GAD donde la población de su cobertura no cuente con acceso garantizado a internet, se deberá entregar dichos documentos por los medios que facilite su acceso.</w:t>
      </w:r>
    </w:p>
    <w:p w14:paraId="5F9ECE8F" w14:textId="77777777" w:rsidR="00CF43F6" w:rsidRPr="00E76595" w:rsidRDefault="00CF43F6" w:rsidP="00CF43F6">
      <w:pPr>
        <w:spacing w:line="276" w:lineRule="auto"/>
        <w:jc w:val="both"/>
        <w:rPr>
          <w:rFonts w:ascii="Century Gothic" w:eastAsia="Times New Roman" w:hAnsi="Century Gothic" w:cstheme="minorHAnsi"/>
          <w:i/>
          <w:iCs/>
          <w:sz w:val="20"/>
          <w:szCs w:val="20"/>
          <w:lang w:eastAsia="es-EC"/>
        </w:rPr>
      </w:pPr>
    </w:p>
    <w:p w14:paraId="4E52D87F" w14:textId="77777777" w:rsidR="00DC5570" w:rsidRDefault="00CF43F6" w:rsidP="00AA78AB">
      <w:pPr>
        <w:spacing w:line="276" w:lineRule="auto"/>
        <w:jc w:val="both"/>
        <w:rPr>
          <w:rFonts w:ascii="Century Gothic" w:eastAsia="Times New Roman" w:hAnsi="Century Gothic" w:cstheme="minorHAnsi"/>
          <w:i/>
          <w:iCs/>
          <w:sz w:val="20"/>
          <w:szCs w:val="20"/>
          <w:lang w:eastAsia="es-EC"/>
        </w:rPr>
      </w:pPr>
      <w:r w:rsidRPr="00E76595">
        <w:rPr>
          <w:rFonts w:ascii="Century Gothic" w:eastAsia="Times New Roman" w:hAnsi="Century Gothic" w:cstheme="minorHAnsi"/>
          <w:i/>
          <w:iCs/>
          <w:sz w:val="20"/>
          <w:szCs w:val="20"/>
          <w:lang w:eastAsia="es-EC"/>
        </w:rPr>
        <w:t>c) La convocatoria a la ciudadanía para la deliberación será abierta y pública y se realizará con por lo menos 15 días de anticipación. De forma prioritaria, se convocará a la Asamblea Ciudadana Local y a los presidentes de todos los barrios y comunidades de su cobertura territorial, sin perjuicio de que particip</w:t>
      </w:r>
      <w:r w:rsidR="007B7315">
        <w:rPr>
          <w:rFonts w:ascii="Century Gothic" w:eastAsia="Times New Roman" w:hAnsi="Century Gothic" w:cstheme="minorHAnsi"/>
          <w:i/>
          <w:iCs/>
          <w:sz w:val="20"/>
          <w:szCs w:val="20"/>
          <w:lang w:eastAsia="es-EC"/>
        </w:rPr>
        <w:t>en unidades básicas de particip</w:t>
      </w:r>
      <w:r w:rsidR="00DC5570">
        <w:rPr>
          <w:rFonts w:ascii="Century Gothic" w:eastAsia="Times New Roman" w:hAnsi="Century Gothic" w:cstheme="minorHAnsi"/>
          <w:i/>
          <w:iCs/>
          <w:sz w:val="20"/>
          <w:szCs w:val="20"/>
          <w:lang w:eastAsia="es-EC"/>
        </w:rPr>
        <w:t>a</w:t>
      </w:r>
      <w:r w:rsidRPr="00E76595">
        <w:rPr>
          <w:rFonts w:ascii="Century Gothic" w:eastAsia="Times New Roman" w:hAnsi="Century Gothic" w:cstheme="minorHAnsi"/>
          <w:i/>
          <w:iCs/>
          <w:sz w:val="20"/>
          <w:szCs w:val="20"/>
          <w:lang w:eastAsia="es-EC"/>
        </w:rPr>
        <w:t>ción, actores sociales, organizaciones o ciudadanía del territorio.</w:t>
      </w:r>
      <w:r>
        <w:rPr>
          <w:rFonts w:ascii="Century Gothic" w:eastAsia="Times New Roman" w:hAnsi="Century Gothic" w:cstheme="minorHAnsi"/>
          <w:i/>
          <w:iCs/>
          <w:sz w:val="20"/>
          <w:szCs w:val="20"/>
          <w:lang w:eastAsia="es-EC"/>
        </w:rPr>
        <w:t xml:space="preserve"> </w:t>
      </w:r>
    </w:p>
    <w:p w14:paraId="225F3970" w14:textId="77777777" w:rsidR="00DC5570" w:rsidRDefault="00DC5570" w:rsidP="00AA78AB">
      <w:pPr>
        <w:spacing w:line="276" w:lineRule="auto"/>
        <w:jc w:val="both"/>
        <w:rPr>
          <w:rFonts w:ascii="Century Gothic" w:eastAsia="Times New Roman" w:hAnsi="Century Gothic" w:cstheme="minorHAnsi"/>
          <w:i/>
          <w:iCs/>
          <w:sz w:val="20"/>
          <w:szCs w:val="20"/>
          <w:lang w:eastAsia="es-EC"/>
        </w:rPr>
      </w:pPr>
    </w:p>
    <w:p w14:paraId="27A4F770" w14:textId="058D80F0" w:rsidR="00DC5570" w:rsidRDefault="00DC5570"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d) Tanto el GAD como cada entidad vinculada realizará la deliberación de manera presencial y deberá ser retrasmitida y grabada a través de plataformas informáticas interactivas (…).</w:t>
      </w:r>
    </w:p>
    <w:p w14:paraId="44D2342B" w14:textId="77777777" w:rsidR="00DC5570" w:rsidRDefault="00DC5570" w:rsidP="00AA78AB">
      <w:pPr>
        <w:spacing w:line="276" w:lineRule="auto"/>
        <w:jc w:val="both"/>
        <w:rPr>
          <w:rFonts w:ascii="Century Gothic" w:eastAsia="Times New Roman" w:hAnsi="Century Gothic" w:cstheme="minorHAnsi"/>
          <w:i/>
          <w:iCs/>
          <w:sz w:val="20"/>
          <w:szCs w:val="20"/>
          <w:lang w:eastAsia="es-EC"/>
        </w:rPr>
      </w:pPr>
    </w:p>
    <w:p w14:paraId="23ACB554" w14:textId="36779DA4" w:rsidR="00DC5570" w:rsidRDefault="00DC5570"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e) Durante la deliberación pública los delegados de la Asamblea Ciudadana Local o de quienes hiciera sus veces presentarán sus opiniones y valoraciones respecto del informe que les entregó previamente la autoridad y posteriormente la máxima autoridad absolverá dichas inquietudes de manera motivada.</w:t>
      </w:r>
    </w:p>
    <w:p w14:paraId="25E75D65" w14:textId="37F6A3BD" w:rsidR="00DC5570" w:rsidRDefault="00DC5570" w:rsidP="00AA78AB">
      <w:pPr>
        <w:spacing w:line="276" w:lineRule="auto"/>
        <w:jc w:val="both"/>
        <w:rPr>
          <w:rFonts w:ascii="Century Gothic" w:eastAsia="Times New Roman" w:hAnsi="Century Gothic" w:cstheme="minorHAnsi"/>
          <w:i/>
          <w:iCs/>
          <w:sz w:val="20"/>
          <w:szCs w:val="20"/>
          <w:lang w:eastAsia="es-EC"/>
        </w:rPr>
      </w:pPr>
    </w:p>
    <w:p w14:paraId="0BF45E68" w14:textId="17F6BC50" w:rsidR="00DC5570" w:rsidRDefault="00DC5570"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f) Se realizarán mesas temáticas en función a los ejes de desarrollo y se garantizará la participación, el intercambio público y razonado de argumentos y la evaluación de la ciudadanía a la gestión presentada por la autoridad</w:t>
      </w:r>
      <w:r w:rsidR="00BE048D">
        <w:rPr>
          <w:rFonts w:ascii="Century Gothic" w:eastAsia="Times New Roman" w:hAnsi="Century Gothic" w:cstheme="minorHAnsi"/>
          <w:i/>
          <w:iCs/>
          <w:sz w:val="20"/>
          <w:szCs w:val="20"/>
          <w:lang w:eastAsia="es-EC"/>
        </w:rPr>
        <w:t>. Como producto de este momento, la Comisión liderada por el GAD o equipo técnico responsable, según sea el caso, recogerá las sugerencias y recomendaciones de la ciudadanía y levantará un acta que será firmada por la autoridad y los representantes de la Asamblea Ciudadana Local (…). Este momento también deberá ser retrasmitido y grabado a través de plataformas informáticas interactivas.</w:t>
      </w:r>
    </w:p>
    <w:p w14:paraId="6FA2F6FE" w14:textId="59EA5560" w:rsidR="00BE048D" w:rsidRDefault="00BE048D" w:rsidP="00AA78AB">
      <w:pPr>
        <w:spacing w:line="276" w:lineRule="auto"/>
        <w:jc w:val="both"/>
        <w:rPr>
          <w:rFonts w:ascii="Century Gothic" w:eastAsia="Times New Roman" w:hAnsi="Century Gothic" w:cstheme="minorHAnsi"/>
          <w:i/>
          <w:iCs/>
          <w:sz w:val="20"/>
          <w:szCs w:val="20"/>
          <w:lang w:eastAsia="es-EC"/>
        </w:rPr>
      </w:pPr>
    </w:p>
    <w:p w14:paraId="0DDA1B52" w14:textId="0DD9E211" w:rsidR="00BE048D" w:rsidRDefault="00BE048D"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 xml:space="preserve">g) Una vez concluido el evento presencial, se deberá publicar y difundir el video de la trasmisión en vivo, junto al informe y el formulario de rendición de cuentas en Excel lleno con sus respectivos links a los medios de verificación en la página web institucional y en todos los medios virtuales (redes virtuales, plataformas </w:t>
      </w:r>
      <w:proofErr w:type="spellStart"/>
      <w:r>
        <w:rPr>
          <w:rFonts w:ascii="Century Gothic" w:eastAsia="Times New Roman" w:hAnsi="Century Gothic" w:cstheme="minorHAnsi"/>
          <w:i/>
          <w:iCs/>
          <w:sz w:val="20"/>
          <w:szCs w:val="20"/>
          <w:lang w:eastAsia="es-EC"/>
        </w:rPr>
        <w:t>streaming</w:t>
      </w:r>
      <w:proofErr w:type="spellEnd"/>
      <w:r>
        <w:rPr>
          <w:rFonts w:ascii="Century Gothic" w:eastAsia="Times New Roman" w:hAnsi="Century Gothic" w:cstheme="minorHAnsi"/>
          <w:i/>
          <w:iCs/>
          <w:sz w:val="20"/>
          <w:szCs w:val="20"/>
          <w:lang w:eastAsia="es-EC"/>
        </w:rPr>
        <w:t>, etc.) y presenciales que disponga la entidad durante un período de dos semanas (14 días). En este tiempo la entidad tiene la obligación de abrir canales virtuales para r</w:t>
      </w:r>
      <w:r w:rsidR="001F38A1">
        <w:rPr>
          <w:rFonts w:ascii="Century Gothic" w:eastAsia="Times New Roman" w:hAnsi="Century Gothic" w:cstheme="minorHAnsi"/>
          <w:i/>
          <w:iCs/>
          <w:sz w:val="20"/>
          <w:szCs w:val="20"/>
          <w:lang w:eastAsia="es-EC"/>
        </w:rPr>
        <w:t>eceptar opiniones y sugerencias</w:t>
      </w:r>
      <w:r>
        <w:rPr>
          <w:rFonts w:ascii="Century Gothic" w:eastAsia="Times New Roman" w:hAnsi="Century Gothic" w:cstheme="minorHAnsi"/>
          <w:i/>
          <w:iCs/>
          <w:sz w:val="20"/>
          <w:szCs w:val="20"/>
          <w:lang w:eastAsia="es-EC"/>
        </w:rPr>
        <w:t xml:space="preserve"> y demás aportes ciudadanos a los resultados presentados por la autoridad.</w:t>
      </w:r>
    </w:p>
    <w:p w14:paraId="53051B4C" w14:textId="77777777" w:rsidR="00DC5570" w:rsidRDefault="00DC5570" w:rsidP="00AA78AB">
      <w:pPr>
        <w:spacing w:line="276" w:lineRule="auto"/>
        <w:jc w:val="both"/>
        <w:rPr>
          <w:rFonts w:ascii="Century Gothic" w:eastAsia="Times New Roman" w:hAnsi="Century Gothic" w:cstheme="minorHAnsi"/>
          <w:i/>
          <w:iCs/>
          <w:sz w:val="20"/>
          <w:szCs w:val="20"/>
          <w:lang w:eastAsia="es-EC"/>
        </w:rPr>
      </w:pPr>
    </w:p>
    <w:p w14:paraId="4B70BA8D" w14:textId="7AC267BC" w:rsidR="003C789A" w:rsidRDefault="00BE048D"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 xml:space="preserve">h) </w:t>
      </w:r>
      <w:r w:rsidR="001F38A1">
        <w:rPr>
          <w:rFonts w:ascii="Century Gothic" w:eastAsia="Times New Roman" w:hAnsi="Century Gothic" w:cstheme="minorHAnsi"/>
          <w:i/>
          <w:iCs/>
          <w:sz w:val="20"/>
          <w:szCs w:val="20"/>
          <w:lang w:eastAsia="es-EC"/>
        </w:rPr>
        <w:t xml:space="preserve">Finalizado ese período la institución deberá sistematizar todos los aportes ciudadanos recibidos, tanto en el espacio presencia como en los virtuales. </w:t>
      </w:r>
      <w:r w:rsidR="00CF43F6">
        <w:rPr>
          <w:rFonts w:ascii="Century Gothic" w:eastAsia="Times New Roman" w:hAnsi="Century Gothic" w:cstheme="minorHAnsi"/>
          <w:i/>
          <w:iCs/>
          <w:sz w:val="20"/>
          <w:szCs w:val="20"/>
          <w:lang w:eastAsia="es-EC"/>
        </w:rPr>
        <w:t>(…)</w:t>
      </w:r>
      <w:r w:rsidR="00CF43F6" w:rsidRPr="00E76595">
        <w:rPr>
          <w:rFonts w:ascii="Century Gothic" w:eastAsia="Times New Roman" w:hAnsi="Century Gothic" w:cstheme="minorHAnsi"/>
          <w:i/>
          <w:iCs/>
          <w:sz w:val="20"/>
          <w:szCs w:val="20"/>
          <w:lang w:eastAsia="es-EC"/>
        </w:rPr>
        <w:t>”</w:t>
      </w:r>
    </w:p>
    <w:p w14:paraId="0F129508" w14:textId="77777777" w:rsidR="001F38A1" w:rsidRPr="003C1F6A" w:rsidRDefault="001F38A1" w:rsidP="00AA78AB">
      <w:pPr>
        <w:spacing w:line="276" w:lineRule="auto"/>
        <w:jc w:val="both"/>
        <w:rPr>
          <w:rFonts w:ascii="Century Gothic" w:eastAsia="Times New Roman" w:hAnsi="Century Gothic" w:cstheme="minorHAnsi"/>
          <w:i/>
          <w:iCs/>
          <w:sz w:val="20"/>
          <w:szCs w:val="20"/>
          <w:lang w:eastAsia="es-EC"/>
        </w:rPr>
      </w:pPr>
    </w:p>
    <w:p w14:paraId="40E41E1F" w14:textId="77777777" w:rsidR="00B952E8" w:rsidRPr="00CF43F6" w:rsidRDefault="00120AB7" w:rsidP="00B952E8">
      <w:pPr>
        <w:pStyle w:val="Ttulo1"/>
        <w:numPr>
          <w:ilvl w:val="0"/>
          <w:numId w:val="10"/>
        </w:numPr>
        <w:rPr>
          <w:rFonts w:ascii="Century Gothic" w:hAnsi="Century Gothic"/>
          <w:sz w:val="20"/>
          <w:szCs w:val="20"/>
        </w:rPr>
      </w:pPr>
      <w:bookmarkStart w:id="2" w:name="_Toc165565929"/>
      <w:r w:rsidRPr="00CF43F6">
        <w:rPr>
          <w:rFonts w:ascii="Century Gothic" w:hAnsi="Century Gothic"/>
          <w:sz w:val="20"/>
          <w:szCs w:val="20"/>
        </w:rPr>
        <w:t>OBJETIVOS</w:t>
      </w:r>
      <w:bookmarkEnd w:id="2"/>
    </w:p>
    <w:p w14:paraId="19ADF0F5" w14:textId="61BCB2CD" w:rsidR="00AF7650" w:rsidRDefault="00515B53" w:rsidP="00E40B20">
      <w:pPr>
        <w:pStyle w:val="Ttulo2"/>
        <w:numPr>
          <w:ilvl w:val="1"/>
          <w:numId w:val="10"/>
        </w:numPr>
      </w:pPr>
      <w:bookmarkStart w:id="3" w:name="_Toc165565930"/>
      <w:r w:rsidRPr="00CF43F6">
        <w:t xml:space="preserve">OBJETIVO </w:t>
      </w:r>
      <w:r w:rsidR="00120AB7" w:rsidRPr="00CF43F6">
        <w:t>GENERAL</w:t>
      </w:r>
      <w:bookmarkEnd w:id="3"/>
    </w:p>
    <w:p w14:paraId="2E6487DB" w14:textId="77777777" w:rsidR="00E40B20" w:rsidRPr="00E40B20" w:rsidRDefault="00E40B20" w:rsidP="00E40B20"/>
    <w:p w14:paraId="6C15DE3B" w14:textId="586FDDBA" w:rsidR="00FB0187" w:rsidRPr="00CF43F6" w:rsidRDefault="006E20B8" w:rsidP="00AA78AB">
      <w:p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Desarrollar el evento de deliberación pública de Rendición de Cuentas, por </w:t>
      </w:r>
      <w:r w:rsidR="00AF7650" w:rsidRPr="00CF43F6">
        <w:rPr>
          <w:rFonts w:ascii="Century Gothic" w:hAnsi="Century Gothic" w:cstheme="minorHAnsi"/>
          <w:sz w:val="20"/>
          <w:szCs w:val="20"/>
        </w:rPr>
        <w:t xml:space="preserve">parte de la máxima autoridad del Municipio del </w:t>
      </w:r>
      <w:r w:rsidRPr="00CF43F6">
        <w:rPr>
          <w:rFonts w:ascii="Century Gothic" w:hAnsi="Century Gothic" w:cstheme="minorHAnsi"/>
          <w:sz w:val="20"/>
          <w:szCs w:val="20"/>
        </w:rPr>
        <w:t xml:space="preserve">Distrito Metropolitano de Quito, </w:t>
      </w:r>
      <w:r w:rsidR="00AF7650" w:rsidRPr="00CF43F6">
        <w:rPr>
          <w:rFonts w:ascii="Century Gothic" w:hAnsi="Century Gothic" w:cstheme="minorHAnsi"/>
          <w:sz w:val="20"/>
          <w:szCs w:val="20"/>
        </w:rPr>
        <w:t xml:space="preserve">el alcalde Pabel </w:t>
      </w:r>
      <w:r w:rsidR="00AF7650" w:rsidRPr="00CF43F6">
        <w:rPr>
          <w:rFonts w:ascii="Century Gothic" w:hAnsi="Century Gothic" w:cstheme="minorHAnsi"/>
          <w:sz w:val="20"/>
          <w:szCs w:val="20"/>
        </w:rPr>
        <w:lastRenderedPageBreak/>
        <w:t>Muñoz</w:t>
      </w:r>
      <w:r w:rsidR="0047414C">
        <w:rPr>
          <w:rFonts w:ascii="Century Gothic" w:hAnsi="Century Gothic" w:cstheme="minorHAnsi"/>
          <w:sz w:val="20"/>
          <w:szCs w:val="20"/>
        </w:rPr>
        <w:t xml:space="preserve"> López,</w:t>
      </w:r>
      <w:r w:rsidR="007B7315">
        <w:rPr>
          <w:rFonts w:ascii="Century Gothic" w:hAnsi="Century Gothic" w:cstheme="minorHAnsi"/>
          <w:sz w:val="20"/>
          <w:szCs w:val="20"/>
        </w:rPr>
        <w:t xml:space="preserve"> en el cual se dialoga con la ciudadanía para conocer sus opiniones, valoraciones y recomendaciones </w:t>
      </w:r>
      <w:r w:rsidRPr="00CF43F6">
        <w:rPr>
          <w:rFonts w:ascii="Century Gothic" w:hAnsi="Century Gothic" w:cstheme="minorHAnsi"/>
          <w:sz w:val="20"/>
          <w:szCs w:val="20"/>
        </w:rPr>
        <w:t>res</w:t>
      </w:r>
      <w:r w:rsidR="002D1F11" w:rsidRPr="00CF43F6">
        <w:rPr>
          <w:rFonts w:ascii="Century Gothic" w:hAnsi="Century Gothic" w:cstheme="minorHAnsi"/>
          <w:sz w:val="20"/>
          <w:szCs w:val="20"/>
        </w:rPr>
        <w:t>pecto al informe de gestión 2023</w:t>
      </w:r>
      <w:r w:rsidRPr="00CF43F6">
        <w:rPr>
          <w:rFonts w:ascii="Century Gothic" w:hAnsi="Century Gothic" w:cstheme="minorHAnsi"/>
          <w:sz w:val="20"/>
          <w:szCs w:val="20"/>
        </w:rPr>
        <w:t>.</w:t>
      </w:r>
    </w:p>
    <w:p w14:paraId="0A872DFC" w14:textId="2A350352" w:rsidR="00B952E8" w:rsidRDefault="00B952E8" w:rsidP="00FB0187">
      <w:pPr>
        <w:spacing w:line="276" w:lineRule="auto"/>
        <w:ind w:left="360"/>
        <w:jc w:val="both"/>
        <w:rPr>
          <w:rFonts w:ascii="Century Gothic" w:hAnsi="Century Gothic" w:cstheme="minorHAnsi"/>
          <w:sz w:val="20"/>
          <w:szCs w:val="20"/>
        </w:rPr>
      </w:pPr>
    </w:p>
    <w:p w14:paraId="4ECD30E3" w14:textId="77777777" w:rsidR="00430932" w:rsidRPr="00CF43F6" w:rsidRDefault="00430932" w:rsidP="00FB0187">
      <w:pPr>
        <w:spacing w:line="276" w:lineRule="auto"/>
        <w:ind w:left="360"/>
        <w:jc w:val="both"/>
        <w:rPr>
          <w:rFonts w:ascii="Century Gothic" w:hAnsi="Century Gothic" w:cstheme="minorHAnsi"/>
          <w:sz w:val="20"/>
          <w:szCs w:val="20"/>
        </w:rPr>
      </w:pPr>
    </w:p>
    <w:p w14:paraId="58767F5E" w14:textId="372A47EB" w:rsidR="00120AB7" w:rsidRPr="00CD2DE8" w:rsidRDefault="00FB0187" w:rsidP="00CD2DE8">
      <w:pPr>
        <w:pStyle w:val="Ttulo2"/>
        <w:ind w:left="426"/>
      </w:pPr>
      <w:bookmarkStart w:id="4" w:name="_Toc165565931"/>
      <w:r w:rsidRPr="00CD2DE8">
        <w:t xml:space="preserve">3.2 </w:t>
      </w:r>
      <w:r w:rsidR="00515B53" w:rsidRPr="00CD2DE8">
        <w:t xml:space="preserve">OBJETIVOS </w:t>
      </w:r>
      <w:r w:rsidR="00120AB7" w:rsidRPr="00CD2DE8">
        <w:t>ESPECÍFICOS</w:t>
      </w:r>
      <w:bookmarkEnd w:id="4"/>
    </w:p>
    <w:p w14:paraId="4D2599B7" w14:textId="57B9FD58" w:rsidR="00120AB7" w:rsidRPr="003C789A" w:rsidRDefault="00120AB7" w:rsidP="003C789A">
      <w:pPr>
        <w:spacing w:line="276" w:lineRule="auto"/>
        <w:rPr>
          <w:rFonts w:ascii="Century Gothic" w:hAnsi="Century Gothic" w:cstheme="minorHAnsi"/>
          <w:sz w:val="20"/>
          <w:szCs w:val="20"/>
        </w:rPr>
      </w:pPr>
    </w:p>
    <w:p w14:paraId="50AA12AB" w14:textId="03C1F640" w:rsidR="00C35EDF" w:rsidRDefault="00C35EDF" w:rsidP="003E379D">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P</w:t>
      </w:r>
      <w:r w:rsidRPr="00C35EDF">
        <w:rPr>
          <w:rFonts w:ascii="Century Gothic" w:hAnsi="Century Gothic" w:cstheme="minorHAnsi"/>
          <w:sz w:val="20"/>
          <w:szCs w:val="20"/>
        </w:rPr>
        <w:t>resent</w:t>
      </w:r>
      <w:r>
        <w:rPr>
          <w:rFonts w:ascii="Century Gothic" w:hAnsi="Century Gothic" w:cstheme="minorHAnsi"/>
          <w:sz w:val="20"/>
          <w:szCs w:val="20"/>
        </w:rPr>
        <w:t xml:space="preserve">ar </w:t>
      </w:r>
      <w:r w:rsidRPr="00C35EDF">
        <w:rPr>
          <w:rFonts w:ascii="Century Gothic" w:hAnsi="Century Gothic" w:cstheme="minorHAnsi"/>
          <w:sz w:val="20"/>
          <w:szCs w:val="20"/>
        </w:rPr>
        <w:t>opin</w:t>
      </w:r>
      <w:r w:rsidR="007B7315">
        <w:rPr>
          <w:rFonts w:ascii="Century Gothic" w:hAnsi="Century Gothic" w:cstheme="minorHAnsi"/>
          <w:sz w:val="20"/>
          <w:szCs w:val="20"/>
        </w:rPr>
        <w:t>iones y valoraciones del informe</w:t>
      </w:r>
      <w:r w:rsidRPr="00C35EDF">
        <w:rPr>
          <w:rFonts w:ascii="Century Gothic" w:hAnsi="Century Gothic" w:cstheme="minorHAnsi"/>
          <w:sz w:val="20"/>
          <w:szCs w:val="20"/>
        </w:rPr>
        <w:t>.</w:t>
      </w:r>
    </w:p>
    <w:p w14:paraId="7D54F13A" w14:textId="569A0A93" w:rsidR="00C35EDF" w:rsidRDefault="00C35EDF" w:rsidP="003E379D">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R</w:t>
      </w:r>
      <w:r w:rsidRPr="00C35EDF">
        <w:rPr>
          <w:rFonts w:ascii="Century Gothic" w:hAnsi="Century Gothic" w:cstheme="minorHAnsi"/>
          <w:sz w:val="20"/>
          <w:szCs w:val="20"/>
        </w:rPr>
        <w:t>esponde</w:t>
      </w:r>
      <w:r w:rsidR="007B7315">
        <w:rPr>
          <w:rFonts w:ascii="Century Gothic" w:hAnsi="Century Gothic" w:cstheme="minorHAnsi"/>
          <w:sz w:val="20"/>
          <w:szCs w:val="20"/>
        </w:rPr>
        <w:t>r</w:t>
      </w:r>
      <w:r w:rsidRPr="00C35EDF">
        <w:rPr>
          <w:rFonts w:ascii="Century Gothic" w:hAnsi="Century Gothic" w:cstheme="minorHAnsi"/>
          <w:sz w:val="20"/>
          <w:szCs w:val="20"/>
        </w:rPr>
        <w:t xml:space="preserve"> a las inquietudes de la ciudadanía</w:t>
      </w:r>
      <w:r>
        <w:rPr>
          <w:rFonts w:ascii="Century Gothic" w:hAnsi="Century Gothic" w:cstheme="minorHAnsi"/>
          <w:sz w:val="20"/>
          <w:szCs w:val="20"/>
        </w:rPr>
        <w:t>.</w:t>
      </w:r>
    </w:p>
    <w:p w14:paraId="0B9CC582" w14:textId="4310A820" w:rsidR="00CD6268" w:rsidRDefault="00C35EDF" w:rsidP="005F7723">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Realizar</w:t>
      </w:r>
      <w:r w:rsidRPr="00C35EDF">
        <w:rPr>
          <w:rFonts w:ascii="Century Gothic" w:hAnsi="Century Gothic" w:cstheme="minorHAnsi"/>
          <w:sz w:val="20"/>
          <w:szCs w:val="20"/>
        </w:rPr>
        <w:t xml:space="preserve"> mesas temáticas en función a los ejes de d</w:t>
      </w:r>
      <w:r>
        <w:rPr>
          <w:rFonts w:ascii="Century Gothic" w:hAnsi="Century Gothic" w:cstheme="minorHAnsi"/>
          <w:sz w:val="20"/>
          <w:szCs w:val="20"/>
        </w:rPr>
        <w:t>esarrollo de acuerdo al PMDOT.</w:t>
      </w:r>
    </w:p>
    <w:p w14:paraId="797304B6" w14:textId="5F344A65" w:rsidR="00915E52" w:rsidRPr="00E477D0" w:rsidRDefault="007B7315" w:rsidP="00E477D0">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Recoger las recomendaciones de la ciudadanía para convertirlas en un Plan de Trabajo del DADDMQ.</w:t>
      </w:r>
    </w:p>
    <w:p w14:paraId="62D8D6FB" w14:textId="140AFF1D" w:rsidR="00120AB7" w:rsidRPr="00CF43F6" w:rsidRDefault="00120AB7" w:rsidP="004935C2">
      <w:pPr>
        <w:pStyle w:val="Ttulo1"/>
        <w:numPr>
          <w:ilvl w:val="0"/>
          <w:numId w:val="10"/>
        </w:numPr>
        <w:rPr>
          <w:rFonts w:ascii="Century Gothic" w:hAnsi="Century Gothic"/>
          <w:sz w:val="20"/>
          <w:szCs w:val="20"/>
        </w:rPr>
      </w:pPr>
      <w:bookmarkStart w:id="5" w:name="_Toc165565932"/>
      <w:r w:rsidRPr="00CF43F6">
        <w:rPr>
          <w:rFonts w:ascii="Century Gothic" w:hAnsi="Century Gothic"/>
          <w:sz w:val="20"/>
          <w:szCs w:val="20"/>
        </w:rPr>
        <w:t>AGENDA</w:t>
      </w:r>
      <w:bookmarkEnd w:id="5"/>
    </w:p>
    <w:p w14:paraId="30A99A3C" w14:textId="0A6DE39E" w:rsidR="00CD6268" w:rsidRPr="00CF43F6" w:rsidRDefault="00430932" w:rsidP="00CD6268">
      <w:pPr>
        <w:spacing w:line="276" w:lineRule="auto"/>
        <w:rPr>
          <w:rFonts w:ascii="Century Gothic" w:hAnsi="Century Gothic" w:cstheme="minorHAnsi"/>
          <w:b/>
          <w:sz w:val="20"/>
          <w:szCs w:val="20"/>
        </w:rPr>
      </w:pPr>
      <w:r>
        <w:rPr>
          <w:rFonts w:ascii="Century Gothic" w:hAnsi="Century Gothic" w:cstheme="minorHAnsi"/>
          <w:b/>
          <w:noProof/>
          <w:sz w:val="20"/>
          <w:szCs w:val="20"/>
          <w:lang w:eastAsia="es-EC"/>
        </w:rPr>
        <w:drawing>
          <wp:anchor distT="0" distB="0" distL="114300" distR="114300" simplePos="0" relativeHeight="251658240" behindDoc="1" locked="0" layoutInCell="1" allowOverlap="1" wp14:anchorId="3387C64E" wp14:editId="7DB62247">
            <wp:simplePos x="0" y="0"/>
            <wp:positionH relativeFrom="column">
              <wp:posOffset>-288290</wp:posOffset>
            </wp:positionH>
            <wp:positionV relativeFrom="paragraph">
              <wp:posOffset>301625</wp:posOffset>
            </wp:positionV>
            <wp:extent cx="6342380" cy="3055620"/>
            <wp:effectExtent l="0" t="0" r="1270" b="0"/>
            <wp:wrapTight wrapText="bothSides">
              <wp:wrapPolygon edited="0">
                <wp:start x="0" y="0"/>
                <wp:lineTo x="0" y="21411"/>
                <wp:lineTo x="21539" y="21411"/>
                <wp:lineTo x="2153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2380" cy="3055620"/>
                    </a:xfrm>
                    <a:prstGeom prst="rect">
                      <a:avLst/>
                    </a:prstGeom>
                    <a:noFill/>
                  </pic:spPr>
                </pic:pic>
              </a:graphicData>
            </a:graphic>
            <wp14:sizeRelH relativeFrom="margin">
              <wp14:pctWidth>0</wp14:pctWidth>
            </wp14:sizeRelH>
            <wp14:sizeRelV relativeFrom="margin">
              <wp14:pctHeight>0</wp14:pctHeight>
            </wp14:sizeRelV>
          </wp:anchor>
        </w:drawing>
      </w:r>
    </w:p>
    <w:p w14:paraId="34A255C7" w14:textId="40E77485" w:rsidR="00674D61" w:rsidRPr="00CF43F6" w:rsidRDefault="00674D61" w:rsidP="005F7723">
      <w:pPr>
        <w:spacing w:line="276" w:lineRule="auto"/>
        <w:rPr>
          <w:rFonts w:ascii="Century Gothic" w:hAnsi="Century Gothic" w:cstheme="minorHAnsi"/>
          <w:b/>
          <w:sz w:val="20"/>
          <w:szCs w:val="20"/>
        </w:rPr>
      </w:pPr>
    </w:p>
    <w:p w14:paraId="08638F6B" w14:textId="2CD2A122" w:rsidR="00FB0187" w:rsidRPr="00CF43F6" w:rsidRDefault="00120AB7" w:rsidP="00FB0187">
      <w:pPr>
        <w:pStyle w:val="Ttulo1"/>
        <w:numPr>
          <w:ilvl w:val="0"/>
          <w:numId w:val="10"/>
        </w:numPr>
        <w:rPr>
          <w:rFonts w:ascii="Century Gothic" w:hAnsi="Century Gothic"/>
          <w:sz w:val="20"/>
          <w:szCs w:val="20"/>
        </w:rPr>
      </w:pPr>
      <w:bookmarkStart w:id="6" w:name="_Toc165565933"/>
      <w:r w:rsidRPr="00CF43F6">
        <w:rPr>
          <w:rFonts w:ascii="Century Gothic" w:hAnsi="Century Gothic"/>
          <w:sz w:val="20"/>
          <w:szCs w:val="20"/>
        </w:rPr>
        <w:t>DESARROLLO DE LA METODOLOGÍA</w:t>
      </w:r>
      <w:bookmarkEnd w:id="6"/>
    </w:p>
    <w:p w14:paraId="277C54F8" w14:textId="77777777" w:rsidR="00FB0187" w:rsidRPr="00CF43F6" w:rsidRDefault="00FB0187" w:rsidP="00FB0187">
      <w:pPr>
        <w:rPr>
          <w:rFonts w:ascii="Century Gothic" w:hAnsi="Century Gothic"/>
          <w:sz w:val="20"/>
          <w:szCs w:val="20"/>
        </w:rPr>
      </w:pPr>
    </w:p>
    <w:p w14:paraId="5956C29E" w14:textId="691764E6" w:rsidR="00721BEA" w:rsidRPr="00CF43F6" w:rsidRDefault="00721BEA" w:rsidP="005F7723">
      <w:pPr>
        <w:spacing w:line="276" w:lineRule="auto"/>
        <w:rPr>
          <w:rFonts w:ascii="Century Gothic" w:hAnsi="Century Gothic" w:cstheme="minorHAnsi"/>
          <w:sz w:val="20"/>
          <w:szCs w:val="20"/>
        </w:rPr>
      </w:pPr>
      <w:r w:rsidRPr="00CF43F6">
        <w:rPr>
          <w:rFonts w:ascii="Century Gothic" w:hAnsi="Century Gothic" w:cstheme="minorHAnsi"/>
          <w:b/>
          <w:sz w:val="20"/>
          <w:szCs w:val="20"/>
        </w:rPr>
        <w:t>Lugar:</w:t>
      </w:r>
      <w:r w:rsidRPr="00CF43F6">
        <w:rPr>
          <w:rFonts w:ascii="Century Gothic" w:hAnsi="Century Gothic" w:cstheme="minorHAnsi"/>
          <w:sz w:val="20"/>
          <w:szCs w:val="20"/>
        </w:rPr>
        <w:t xml:space="preserve"> </w:t>
      </w:r>
      <w:r w:rsidR="00393A4A">
        <w:rPr>
          <w:rFonts w:ascii="Century Gothic" w:hAnsi="Century Gothic" w:cstheme="minorHAnsi"/>
          <w:sz w:val="20"/>
          <w:szCs w:val="20"/>
        </w:rPr>
        <w:t>Salón de la Ciudad.</w:t>
      </w:r>
    </w:p>
    <w:p w14:paraId="3619879A" w14:textId="77777777" w:rsidR="009A55DC" w:rsidRDefault="009A55DC" w:rsidP="009A55DC">
      <w:pPr>
        <w:spacing w:line="276" w:lineRule="auto"/>
        <w:jc w:val="both"/>
        <w:rPr>
          <w:rFonts w:ascii="Century Gothic" w:hAnsi="Century Gothic" w:cstheme="minorHAnsi"/>
          <w:sz w:val="20"/>
          <w:szCs w:val="20"/>
        </w:rPr>
      </w:pPr>
      <w:r w:rsidRPr="006977C5">
        <w:rPr>
          <w:rFonts w:ascii="Century Gothic" w:hAnsi="Century Gothic" w:cstheme="minorHAnsi"/>
          <w:sz w:val="20"/>
          <w:szCs w:val="20"/>
        </w:rPr>
        <w:t>(Recordemos que: la rendición de cuentas no es un espacio para solicitar obras, sino para evaluar la gestión municipal, destacando los aspectos positivos y sugiriendo los correctivos necesarios para mejorar los procesos dentro del MDMQ.)</w:t>
      </w:r>
    </w:p>
    <w:p w14:paraId="49B0CA0A" w14:textId="77777777" w:rsidR="00721BEA" w:rsidRPr="00CF43F6" w:rsidRDefault="00721BEA" w:rsidP="005F7723">
      <w:pPr>
        <w:spacing w:line="276" w:lineRule="auto"/>
        <w:rPr>
          <w:rFonts w:ascii="Century Gothic" w:hAnsi="Century Gothic" w:cstheme="minorHAnsi"/>
          <w:sz w:val="20"/>
          <w:szCs w:val="20"/>
        </w:rPr>
      </w:pPr>
    </w:p>
    <w:p w14:paraId="59BCBB65" w14:textId="1F8F7F63" w:rsidR="00BB06D7" w:rsidRPr="0089700E" w:rsidRDefault="00547BD1" w:rsidP="00BB06D7">
      <w:pPr>
        <w:pStyle w:val="Prrafodelista"/>
        <w:numPr>
          <w:ilvl w:val="0"/>
          <w:numId w:val="25"/>
        </w:numPr>
        <w:spacing w:line="276" w:lineRule="auto"/>
        <w:jc w:val="both"/>
        <w:rPr>
          <w:rFonts w:ascii="Century Gothic" w:hAnsi="Century Gothic" w:cstheme="minorHAnsi"/>
          <w:sz w:val="20"/>
          <w:szCs w:val="20"/>
        </w:rPr>
      </w:pPr>
      <w:r>
        <w:rPr>
          <w:rFonts w:ascii="Century Gothic" w:hAnsi="Century Gothic" w:cstheme="minorHAnsi"/>
          <w:sz w:val="20"/>
          <w:szCs w:val="20"/>
        </w:rPr>
        <w:t>Ingreso y registro</w:t>
      </w:r>
      <w:r w:rsidR="0042783B" w:rsidRPr="0089700E">
        <w:rPr>
          <w:rFonts w:ascii="Century Gothic" w:hAnsi="Century Gothic" w:cstheme="minorHAnsi"/>
          <w:sz w:val="20"/>
          <w:szCs w:val="20"/>
        </w:rPr>
        <w:t xml:space="preserve"> de participantes.</w:t>
      </w:r>
      <w:r w:rsidR="00B952E8" w:rsidRPr="0089700E">
        <w:rPr>
          <w:rFonts w:ascii="Century Gothic" w:hAnsi="Century Gothic" w:cstheme="minorHAnsi"/>
          <w:sz w:val="20"/>
          <w:szCs w:val="20"/>
        </w:rPr>
        <w:t xml:space="preserve"> </w:t>
      </w:r>
      <w:r w:rsidR="0042783B" w:rsidRPr="0089700E">
        <w:rPr>
          <w:rFonts w:ascii="Century Gothic" w:hAnsi="Century Gothic" w:cstheme="minorHAnsi"/>
          <w:sz w:val="20"/>
          <w:szCs w:val="20"/>
        </w:rPr>
        <w:t xml:space="preserve">Durante el ingreso, </w:t>
      </w:r>
      <w:r w:rsidR="00471A0A">
        <w:rPr>
          <w:rFonts w:ascii="Century Gothic" w:hAnsi="Century Gothic" w:cstheme="minorHAnsi"/>
          <w:sz w:val="20"/>
          <w:szCs w:val="20"/>
        </w:rPr>
        <w:t>se designará</w:t>
      </w:r>
      <w:r w:rsidR="0042783B" w:rsidRPr="0089700E">
        <w:rPr>
          <w:rFonts w:ascii="Century Gothic" w:hAnsi="Century Gothic" w:cstheme="minorHAnsi"/>
          <w:sz w:val="20"/>
          <w:szCs w:val="20"/>
        </w:rPr>
        <w:t xml:space="preserve"> en qué mesa</w:t>
      </w:r>
      <w:r w:rsidR="00DA3FF0">
        <w:rPr>
          <w:rFonts w:ascii="Century Gothic" w:hAnsi="Century Gothic" w:cstheme="minorHAnsi"/>
          <w:sz w:val="20"/>
          <w:szCs w:val="20"/>
        </w:rPr>
        <w:t xml:space="preserve"> de trabajo participará</w:t>
      </w:r>
      <w:r w:rsidR="00471A0A">
        <w:rPr>
          <w:rFonts w:ascii="Century Gothic" w:hAnsi="Century Gothic" w:cstheme="minorHAnsi"/>
          <w:sz w:val="20"/>
          <w:szCs w:val="20"/>
        </w:rPr>
        <w:t xml:space="preserve"> la ciudadanía</w:t>
      </w:r>
      <w:r w:rsidR="0042783B" w:rsidRPr="0089700E">
        <w:rPr>
          <w:rFonts w:ascii="Century Gothic" w:hAnsi="Century Gothic" w:cstheme="minorHAnsi"/>
          <w:sz w:val="20"/>
          <w:szCs w:val="20"/>
        </w:rPr>
        <w:t xml:space="preserve"> de acuerdo a los </w:t>
      </w:r>
      <w:r>
        <w:rPr>
          <w:rFonts w:ascii="Century Gothic" w:hAnsi="Century Gothic" w:cstheme="minorHAnsi"/>
          <w:sz w:val="20"/>
          <w:szCs w:val="20"/>
        </w:rPr>
        <w:t>cuatro (</w:t>
      </w:r>
      <w:r w:rsidR="00721BEA" w:rsidRPr="0089700E">
        <w:rPr>
          <w:rFonts w:ascii="Century Gothic" w:hAnsi="Century Gothic" w:cstheme="minorHAnsi"/>
          <w:sz w:val="20"/>
          <w:szCs w:val="20"/>
        </w:rPr>
        <w:t>4</w:t>
      </w:r>
      <w:r>
        <w:rPr>
          <w:rFonts w:ascii="Century Gothic" w:hAnsi="Century Gothic" w:cstheme="minorHAnsi"/>
          <w:sz w:val="20"/>
          <w:szCs w:val="20"/>
        </w:rPr>
        <w:t>)</w:t>
      </w:r>
      <w:r w:rsidR="00721BEA" w:rsidRPr="0089700E">
        <w:rPr>
          <w:rFonts w:ascii="Century Gothic" w:hAnsi="Century Gothic" w:cstheme="minorHAnsi"/>
          <w:sz w:val="20"/>
          <w:szCs w:val="20"/>
        </w:rPr>
        <w:t xml:space="preserve"> ejes </w:t>
      </w:r>
      <w:r w:rsidR="00AA7525">
        <w:rPr>
          <w:rFonts w:ascii="Century Gothic" w:hAnsi="Century Gothic" w:cstheme="minorHAnsi"/>
          <w:sz w:val="20"/>
          <w:szCs w:val="20"/>
        </w:rPr>
        <w:t xml:space="preserve">de desarrollo </w:t>
      </w:r>
      <w:r w:rsidR="00721BEA" w:rsidRPr="0089700E">
        <w:rPr>
          <w:rFonts w:ascii="Century Gothic" w:hAnsi="Century Gothic" w:cstheme="minorHAnsi"/>
          <w:sz w:val="20"/>
          <w:szCs w:val="20"/>
        </w:rPr>
        <w:t>del PMDOT.</w:t>
      </w:r>
    </w:p>
    <w:p w14:paraId="3C4A3C5C" w14:textId="7F849EAC" w:rsidR="00AE689E" w:rsidRPr="0089700E" w:rsidRDefault="00547BD1" w:rsidP="0089700E">
      <w:pPr>
        <w:pStyle w:val="Prrafodelista"/>
        <w:numPr>
          <w:ilvl w:val="0"/>
          <w:numId w:val="25"/>
        </w:numPr>
        <w:spacing w:line="276" w:lineRule="auto"/>
        <w:jc w:val="both"/>
        <w:rPr>
          <w:rFonts w:ascii="Century Gothic" w:hAnsi="Century Gothic" w:cstheme="minorHAnsi"/>
          <w:sz w:val="20"/>
          <w:szCs w:val="20"/>
        </w:rPr>
      </w:pPr>
      <w:r>
        <w:rPr>
          <w:rFonts w:ascii="Century Gothic" w:hAnsi="Century Gothic" w:cstheme="minorHAnsi"/>
          <w:sz w:val="20"/>
          <w:szCs w:val="20"/>
        </w:rPr>
        <w:t>Presentación de la m</w:t>
      </w:r>
      <w:r w:rsidR="0042783B" w:rsidRPr="0089700E">
        <w:rPr>
          <w:rFonts w:ascii="Century Gothic" w:hAnsi="Century Gothic" w:cstheme="minorHAnsi"/>
          <w:sz w:val="20"/>
          <w:szCs w:val="20"/>
        </w:rPr>
        <w:t>etodología del e</w:t>
      </w:r>
      <w:r w:rsidR="00350A6A">
        <w:rPr>
          <w:rFonts w:ascii="Century Gothic" w:hAnsi="Century Gothic" w:cstheme="minorHAnsi"/>
          <w:sz w:val="20"/>
          <w:szCs w:val="20"/>
        </w:rPr>
        <w:t>vento de d</w:t>
      </w:r>
      <w:r w:rsidR="00B952E8" w:rsidRPr="0089700E">
        <w:rPr>
          <w:rFonts w:ascii="Century Gothic" w:hAnsi="Century Gothic" w:cstheme="minorHAnsi"/>
          <w:sz w:val="20"/>
          <w:szCs w:val="20"/>
        </w:rPr>
        <w:t>eliberación por parte de la S</w:t>
      </w:r>
      <w:r w:rsidR="00AE689E" w:rsidRPr="0089700E">
        <w:rPr>
          <w:rFonts w:ascii="Century Gothic" w:hAnsi="Century Gothic" w:cstheme="minorHAnsi"/>
          <w:sz w:val="20"/>
          <w:szCs w:val="20"/>
        </w:rPr>
        <w:t xml:space="preserve">ecretaria </w:t>
      </w:r>
      <w:r w:rsidR="00B952E8" w:rsidRPr="0089700E">
        <w:rPr>
          <w:rFonts w:ascii="Century Gothic" w:hAnsi="Century Gothic" w:cstheme="minorHAnsi"/>
          <w:sz w:val="20"/>
          <w:szCs w:val="20"/>
        </w:rPr>
        <w:t>G</w:t>
      </w:r>
      <w:r w:rsidR="00AE689E" w:rsidRPr="0089700E">
        <w:rPr>
          <w:rFonts w:ascii="Century Gothic" w:hAnsi="Century Gothic" w:cstheme="minorHAnsi"/>
          <w:sz w:val="20"/>
          <w:szCs w:val="20"/>
        </w:rPr>
        <w:t xml:space="preserve">eneral de </w:t>
      </w:r>
      <w:r w:rsidR="00B952E8" w:rsidRPr="0089700E">
        <w:rPr>
          <w:rFonts w:ascii="Century Gothic" w:hAnsi="Century Gothic" w:cstheme="minorHAnsi"/>
          <w:sz w:val="20"/>
          <w:szCs w:val="20"/>
        </w:rPr>
        <w:t>C</w:t>
      </w:r>
      <w:r w:rsidR="00AE689E" w:rsidRPr="0089700E">
        <w:rPr>
          <w:rFonts w:ascii="Century Gothic" w:hAnsi="Century Gothic" w:cstheme="minorHAnsi"/>
          <w:sz w:val="20"/>
          <w:szCs w:val="20"/>
        </w:rPr>
        <w:t xml:space="preserve">oordinación </w:t>
      </w:r>
      <w:r w:rsidR="00B952E8" w:rsidRPr="0089700E">
        <w:rPr>
          <w:rFonts w:ascii="Century Gothic" w:hAnsi="Century Gothic" w:cstheme="minorHAnsi"/>
          <w:sz w:val="20"/>
          <w:szCs w:val="20"/>
        </w:rPr>
        <w:t>T</w:t>
      </w:r>
      <w:r w:rsidR="00AA7525">
        <w:rPr>
          <w:rFonts w:ascii="Century Gothic" w:hAnsi="Century Gothic" w:cstheme="minorHAnsi"/>
          <w:sz w:val="20"/>
          <w:szCs w:val="20"/>
        </w:rPr>
        <w:t xml:space="preserve">erritorial, </w:t>
      </w:r>
      <w:r w:rsidR="00B952E8" w:rsidRPr="0089700E">
        <w:rPr>
          <w:rFonts w:ascii="Century Gothic" w:hAnsi="Century Gothic" w:cstheme="minorHAnsi"/>
          <w:sz w:val="20"/>
          <w:szCs w:val="20"/>
        </w:rPr>
        <w:t>G</w:t>
      </w:r>
      <w:r w:rsidR="00AE689E" w:rsidRPr="0089700E">
        <w:rPr>
          <w:rFonts w:ascii="Century Gothic" w:hAnsi="Century Gothic" w:cstheme="minorHAnsi"/>
          <w:sz w:val="20"/>
          <w:szCs w:val="20"/>
        </w:rPr>
        <w:t xml:space="preserve">obernabilidad y </w:t>
      </w:r>
      <w:r w:rsidR="00B952E8" w:rsidRPr="0089700E">
        <w:rPr>
          <w:rFonts w:ascii="Century Gothic" w:hAnsi="Century Gothic" w:cstheme="minorHAnsi"/>
          <w:sz w:val="20"/>
          <w:szCs w:val="20"/>
        </w:rPr>
        <w:t>P</w:t>
      </w:r>
      <w:r w:rsidR="00AE689E" w:rsidRPr="0089700E">
        <w:rPr>
          <w:rFonts w:ascii="Century Gothic" w:hAnsi="Century Gothic" w:cstheme="minorHAnsi"/>
          <w:sz w:val="20"/>
          <w:szCs w:val="20"/>
        </w:rPr>
        <w:t>articipación</w:t>
      </w:r>
      <w:r w:rsidR="0042783B" w:rsidRPr="0089700E">
        <w:rPr>
          <w:rFonts w:ascii="Century Gothic" w:hAnsi="Century Gothic" w:cstheme="minorHAnsi"/>
          <w:sz w:val="20"/>
          <w:szCs w:val="20"/>
        </w:rPr>
        <w:t>.</w:t>
      </w:r>
    </w:p>
    <w:p w14:paraId="75F7AE6D" w14:textId="6E46C9E3" w:rsidR="00515B53" w:rsidRPr="0089700E" w:rsidRDefault="00AE689E" w:rsidP="0089700E">
      <w:pPr>
        <w:pStyle w:val="Prrafodelista"/>
        <w:numPr>
          <w:ilvl w:val="0"/>
          <w:numId w:val="25"/>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La/El asambleísta metropolitano</w:t>
      </w:r>
      <w:r w:rsidR="00350A6A">
        <w:rPr>
          <w:rFonts w:ascii="Century Gothic" w:hAnsi="Century Gothic" w:cstheme="minorHAnsi"/>
          <w:sz w:val="20"/>
          <w:szCs w:val="20"/>
        </w:rPr>
        <w:t>/a</w:t>
      </w:r>
      <w:r w:rsidRPr="0089700E">
        <w:rPr>
          <w:rFonts w:ascii="Century Gothic" w:hAnsi="Century Gothic" w:cstheme="minorHAnsi"/>
          <w:sz w:val="20"/>
          <w:szCs w:val="20"/>
        </w:rPr>
        <w:t xml:space="preserve"> designado</w:t>
      </w:r>
      <w:r w:rsidR="00350A6A">
        <w:rPr>
          <w:rFonts w:ascii="Century Gothic" w:hAnsi="Century Gothic" w:cstheme="minorHAnsi"/>
          <w:sz w:val="20"/>
          <w:szCs w:val="20"/>
        </w:rPr>
        <w:t>/a</w:t>
      </w:r>
      <w:r w:rsidRPr="0089700E">
        <w:rPr>
          <w:rFonts w:ascii="Century Gothic" w:hAnsi="Century Gothic" w:cstheme="minorHAnsi"/>
          <w:sz w:val="20"/>
          <w:szCs w:val="20"/>
        </w:rPr>
        <w:t xml:space="preserve">, </w:t>
      </w:r>
      <w:r w:rsidR="005F7723" w:rsidRPr="0089700E">
        <w:rPr>
          <w:rFonts w:ascii="Century Gothic" w:hAnsi="Century Gothic" w:cstheme="minorHAnsi"/>
          <w:sz w:val="20"/>
          <w:szCs w:val="20"/>
        </w:rPr>
        <w:t xml:space="preserve">presenta la </w:t>
      </w:r>
      <w:r w:rsidR="005A09DD">
        <w:rPr>
          <w:rFonts w:ascii="Century Gothic" w:hAnsi="Century Gothic" w:cstheme="minorHAnsi"/>
          <w:sz w:val="20"/>
          <w:szCs w:val="20"/>
        </w:rPr>
        <w:t>valoración</w:t>
      </w:r>
      <w:r w:rsidR="005F7723" w:rsidRPr="0089700E">
        <w:rPr>
          <w:rFonts w:ascii="Century Gothic" w:hAnsi="Century Gothic" w:cstheme="minorHAnsi"/>
          <w:sz w:val="20"/>
          <w:szCs w:val="20"/>
        </w:rPr>
        <w:t xml:space="preserve"> de su evalu</w:t>
      </w:r>
      <w:r w:rsidR="00430932">
        <w:rPr>
          <w:rFonts w:ascii="Century Gothic" w:hAnsi="Century Gothic" w:cstheme="minorHAnsi"/>
          <w:sz w:val="20"/>
          <w:szCs w:val="20"/>
        </w:rPr>
        <w:t>ación del informe institucional.</w:t>
      </w:r>
    </w:p>
    <w:p w14:paraId="49B5BB4B" w14:textId="2742AA82" w:rsidR="005171E6" w:rsidRPr="0089700E" w:rsidRDefault="0086685D" w:rsidP="0089700E">
      <w:pPr>
        <w:pStyle w:val="Prrafodelista"/>
        <w:numPr>
          <w:ilvl w:val="0"/>
          <w:numId w:val="25"/>
        </w:numPr>
        <w:spacing w:line="276" w:lineRule="auto"/>
        <w:jc w:val="both"/>
        <w:rPr>
          <w:rFonts w:ascii="Century Gothic" w:hAnsi="Century Gothic" w:cstheme="minorHAnsi"/>
          <w:sz w:val="20"/>
          <w:szCs w:val="20"/>
        </w:rPr>
      </w:pPr>
      <w:r>
        <w:rPr>
          <w:rFonts w:ascii="Century Gothic" w:hAnsi="Century Gothic" w:cstheme="minorHAnsi"/>
          <w:sz w:val="20"/>
          <w:szCs w:val="20"/>
        </w:rPr>
        <w:lastRenderedPageBreak/>
        <w:t>E</w:t>
      </w:r>
      <w:r w:rsidR="00CD2DE8" w:rsidRPr="0089700E">
        <w:rPr>
          <w:rFonts w:ascii="Century Gothic" w:hAnsi="Century Gothic" w:cstheme="minorHAnsi"/>
          <w:sz w:val="20"/>
          <w:szCs w:val="20"/>
        </w:rPr>
        <w:t>l señor Alcalde</w:t>
      </w:r>
      <w:r w:rsidR="005F7723" w:rsidRPr="0089700E">
        <w:rPr>
          <w:rFonts w:ascii="Century Gothic" w:hAnsi="Century Gothic" w:cstheme="minorHAnsi"/>
          <w:sz w:val="20"/>
          <w:szCs w:val="20"/>
        </w:rPr>
        <w:t xml:space="preserve"> hace la presentación del informe institucional</w:t>
      </w:r>
      <w:r w:rsidR="00430932">
        <w:rPr>
          <w:rFonts w:ascii="Century Gothic" w:hAnsi="Century Gothic" w:cstheme="minorHAnsi"/>
          <w:sz w:val="20"/>
          <w:szCs w:val="20"/>
        </w:rPr>
        <w:t xml:space="preserve"> y como autoridad electa.</w:t>
      </w:r>
    </w:p>
    <w:p w14:paraId="3DC9E44B" w14:textId="00D26C5A" w:rsidR="005F7723" w:rsidRPr="0089700E" w:rsidRDefault="005F7723" w:rsidP="0089700E">
      <w:pPr>
        <w:pStyle w:val="Prrafodelista"/>
        <w:numPr>
          <w:ilvl w:val="0"/>
          <w:numId w:val="25"/>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Los asistentes se dividen en mesas temáticas de trabajo, debaten el informe y realizan las recomendaciones.</w:t>
      </w:r>
    </w:p>
    <w:p w14:paraId="5AFF289C" w14:textId="7E5319ED" w:rsidR="00CB2E8D" w:rsidRPr="008673AD" w:rsidRDefault="005F7723" w:rsidP="008673AD">
      <w:pPr>
        <w:pStyle w:val="Prrafodelista"/>
        <w:numPr>
          <w:ilvl w:val="0"/>
          <w:numId w:val="25"/>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 xml:space="preserve">Las sugerencias y recomendaciones se recogen </w:t>
      </w:r>
      <w:r w:rsidR="00CB2E8D" w:rsidRPr="0089700E">
        <w:rPr>
          <w:rFonts w:ascii="Century Gothic" w:hAnsi="Century Gothic" w:cstheme="minorHAnsi"/>
          <w:sz w:val="20"/>
          <w:szCs w:val="20"/>
        </w:rPr>
        <w:t>en un acta</w:t>
      </w:r>
      <w:r w:rsidR="007977BC">
        <w:rPr>
          <w:rFonts w:ascii="Century Gothic" w:hAnsi="Century Gothic" w:cstheme="minorHAnsi"/>
          <w:sz w:val="20"/>
          <w:szCs w:val="20"/>
        </w:rPr>
        <w:t xml:space="preserve"> </w:t>
      </w:r>
      <w:r w:rsidRPr="0089700E">
        <w:rPr>
          <w:rFonts w:ascii="Century Gothic" w:hAnsi="Century Gothic" w:cstheme="minorHAnsi"/>
          <w:sz w:val="20"/>
          <w:szCs w:val="20"/>
        </w:rPr>
        <w:t xml:space="preserve">y son firmadas por los representantes ciudadanos y </w:t>
      </w:r>
      <w:r w:rsidR="00354D4B">
        <w:rPr>
          <w:rFonts w:ascii="Century Gothic" w:hAnsi="Century Gothic" w:cstheme="minorHAnsi"/>
          <w:sz w:val="20"/>
          <w:szCs w:val="20"/>
        </w:rPr>
        <w:t xml:space="preserve">la </w:t>
      </w:r>
      <w:r w:rsidRPr="0089700E">
        <w:rPr>
          <w:rFonts w:ascii="Century Gothic" w:hAnsi="Century Gothic" w:cstheme="minorHAnsi"/>
          <w:sz w:val="20"/>
          <w:szCs w:val="20"/>
        </w:rPr>
        <w:t>autoridad del GAD</w:t>
      </w:r>
      <w:r w:rsidR="00354D4B">
        <w:rPr>
          <w:rFonts w:ascii="Century Gothic" w:hAnsi="Century Gothic" w:cstheme="minorHAnsi"/>
          <w:sz w:val="20"/>
          <w:szCs w:val="20"/>
        </w:rPr>
        <w:t>DMQ</w:t>
      </w:r>
      <w:r w:rsidRPr="0089700E">
        <w:rPr>
          <w:rFonts w:ascii="Century Gothic" w:hAnsi="Century Gothic" w:cstheme="minorHAnsi"/>
          <w:sz w:val="20"/>
          <w:szCs w:val="20"/>
        </w:rPr>
        <w:t>.</w:t>
      </w:r>
    </w:p>
    <w:p w14:paraId="23120A77" w14:textId="3236DBED" w:rsidR="005171E6" w:rsidRPr="00CF43F6" w:rsidRDefault="005171E6" w:rsidP="0089700E">
      <w:pPr>
        <w:pStyle w:val="Ttulo2"/>
        <w:numPr>
          <w:ilvl w:val="1"/>
          <w:numId w:val="10"/>
        </w:numPr>
      </w:pPr>
      <w:bookmarkStart w:id="7" w:name="_Toc165565934"/>
      <w:r w:rsidRPr="00CF43F6">
        <w:t>DESARROLLO DE MESAS DE TRABAJO Y ENTIDADES PARTICIPANTE</w:t>
      </w:r>
      <w:r w:rsidR="00515B53" w:rsidRPr="00CF43F6">
        <w:t>S</w:t>
      </w:r>
      <w:bookmarkEnd w:id="7"/>
    </w:p>
    <w:p w14:paraId="0710EE57" w14:textId="6444951E" w:rsidR="009A55DC" w:rsidRPr="006977C5" w:rsidRDefault="009A55DC" w:rsidP="006977C5">
      <w:pPr>
        <w:spacing w:line="276" w:lineRule="auto"/>
        <w:jc w:val="both"/>
        <w:rPr>
          <w:rFonts w:ascii="Century Gothic" w:hAnsi="Century Gothic" w:cstheme="minorHAnsi"/>
          <w:sz w:val="20"/>
          <w:szCs w:val="20"/>
        </w:rPr>
      </w:pPr>
    </w:p>
    <w:p w14:paraId="6BBE196B" w14:textId="77777777" w:rsidR="00430932" w:rsidRDefault="00430932" w:rsidP="00430932">
      <w:pPr>
        <w:pStyle w:val="Ttulo2"/>
        <w:numPr>
          <w:ilvl w:val="0"/>
          <w:numId w:val="25"/>
        </w:numPr>
        <w:spacing w:line="276" w:lineRule="auto"/>
        <w:jc w:val="both"/>
        <w:rPr>
          <w:rFonts w:ascii="Century Gothic" w:eastAsiaTheme="minorHAnsi" w:hAnsi="Century Gothic" w:cstheme="minorHAnsi"/>
          <w:b w:val="0"/>
          <w:color w:val="auto"/>
          <w:sz w:val="20"/>
          <w:szCs w:val="20"/>
          <w:lang w:val="es-ES"/>
        </w:rPr>
      </w:pPr>
      <w:bookmarkStart w:id="8" w:name="_Toc165565935"/>
      <w:r w:rsidRPr="00430932">
        <w:rPr>
          <w:rFonts w:ascii="Century Gothic" w:eastAsiaTheme="minorHAnsi" w:hAnsi="Century Gothic" w:cstheme="minorHAnsi"/>
          <w:b w:val="0"/>
          <w:color w:val="auto"/>
          <w:sz w:val="20"/>
          <w:szCs w:val="20"/>
          <w:lang w:val="es-ES"/>
        </w:rPr>
        <w:t>Cada mesa de trabajo estará acompañada por: las autoridades que representan el sector correspondiente al eje de desarrollo, 1 moderador/a, 1 sistematizador/a (técnicos/as del sector correspondiente) y un relator/a de preferencia asambleísta metropolitano en representación de la ciudadanía; así como, la participación de las y los ciudadanos que hayan seleccionado al inicio, el eje de desarrollo (tema) correspondiente.</w:t>
      </w:r>
    </w:p>
    <w:p w14:paraId="543CB3B1" w14:textId="77777777" w:rsidR="00430932" w:rsidRDefault="00430932" w:rsidP="00430932">
      <w:pPr>
        <w:pStyle w:val="Ttulo2"/>
        <w:numPr>
          <w:ilvl w:val="0"/>
          <w:numId w:val="25"/>
        </w:numPr>
        <w:spacing w:line="276" w:lineRule="auto"/>
        <w:jc w:val="both"/>
        <w:rPr>
          <w:rFonts w:ascii="Century Gothic" w:eastAsiaTheme="minorHAnsi" w:hAnsi="Century Gothic" w:cstheme="minorHAnsi"/>
          <w:b w:val="0"/>
          <w:color w:val="auto"/>
          <w:sz w:val="20"/>
          <w:szCs w:val="20"/>
          <w:lang w:val="es-ES"/>
        </w:rPr>
      </w:pPr>
      <w:r w:rsidRPr="00430932">
        <w:rPr>
          <w:rFonts w:ascii="Century Gothic" w:eastAsiaTheme="minorHAnsi" w:hAnsi="Century Gothic" w:cstheme="minorHAnsi"/>
          <w:b w:val="0"/>
          <w:color w:val="auto"/>
          <w:sz w:val="20"/>
          <w:szCs w:val="20"/>
          <w:lang w:val="es-ES"/>
        </w:rPr>
        <w:t>Iniciada la deliberación, se recibirán los criterios y aportes de evaluación de la ciudadanía sobre el informe narrativo del GADDMQ.</w:t>
      </w:r>
    </w:p>
    <w:p w14:paraId="354E8FCE" w14:textId="77777777" w:rsidR="00430932" w:rsidRDefault="00430932" w:rsidP="00430932">
      <w:pPr>
        <w:pStyle w:val="Ttulo2"/>
        <w:numPr>
          <w:ilvl w:val="0"/>
          <w:numId w:val="25"/>
        </w:numPr>
        <w:spacing w:line="276" w:lineRule="auto"/>
        <w:jc w:val="both"/>
        <w:rPr>
          <w:rFonts w:ascii="Century Gothic" w:eastAsiaTheme="minorHAnsi" w:hAnsi="Century Gothic" w:cstheme="minorHAnsi"/>
          <w:b w:val="0"/>
          <w:color w:val="auto"/>
          <w:sz w:val="20"/>
          <w:szCs w:val="20"/>
          <w:lang w:val="es-ES"/>
        </w:rPr>
      </w:pPr>
      <w:r w:rsidRPr="00430932">
        <w:rPr>
          <w:rFonts w:ascii="Century Gothic" w:eastAsiaTheme="minorHAnsi" w:hAnsi="Century Gothic" w:cstheme="minorHAnsi"/>
          <w:b w:val="0"/>
          <w:color w:val="auto"/>
          <w:sz w:val="20"/>
          <w:szCs w:val="20"/>
          <w:lang w:val="es-ES"/>
        </w:rPr>
        <w:t>Las autoridades del sector correspondiente al eje de desarrollo, con apoyo de sus equipos técnicos, deberán absolver inquietudes de la ciudadanía.</w:t>
      </w:r>
    </w:p>
    <w:p w14:paraId="2646098F" w14:textId="78B3A512" w:rsidR="00430932" w:rsidRDefault="00430932" w:rsidP="00430932">
      <w:pPr>
        <w:pStyle w:val="Ttulo2"/>
        <w:numPr>
          <w:ilvl w:val="0"/>
          <w:numId w:val="25"/>
        </w:numPr>
        <w:spacing w:line="276" w:lineRule="auto"/>
        <w:jc w:val="both"/>
        <w:rPr>
          <w:rFonts w:ascii="Century Gothic" w:eastAsiaTheme="minorHAnsi" w:hAnsi="Century Gothic" w:cstheme="minorHAnsi"/>
          <w:b w:val="0"/>
          <w:color w:val="auto"/>
          <w:sz w:val="20"/>
          <w:szCs w:val="20"/>
          <w:lang w:val="es-ES"/>
        </w:rPr>
      </w:pPr>
      <w:r w:rsidRPr="00430932">
        <w:rPr>
          <w:rFonts w:ascii="Century Gothic" w:eastAsiaTheme="minorHAnsi" w:hAnsi="Century Gothic" w:cstheme="minorHAnsi"/>
          <w:b w:val="0"/>
          <w:color w:val="auto"/>
          <w:sz w:val="20"/>
          <w:szCs w:val="20"/>
          <w:lang w:val="es-ES"/>
        </w:rPr>
        <w:t>Finalizada la deliberación en la mesa de trabajo se dará lectura al acta de sistematización de los aportes y recomendaciones de la ciudadanía, para su suscripción.</w:t>
      </w:r>
    </w:p>
    <w:p w14:paraId="1ED09129" w14:textId="77777777" w:rsidR="00430932" w:rsidRPr="00430932" w:rsidRDefault="00430932" w:rsidP="00430932">
      <w:pPr>
        <w:rPr>
          <w:lang w:val="es-ES"/>
        </w:rPr>
      </w:pPr>
    </w:p>
    <w:p w14:paraId="4A7C9A63" w14:textId="728C49A0" w:rsidR="005171E6" w:rsidRPr="00CF43F6" w:rsidRDefault="00CD2DE8" w:rsidP="00CD2DE8">
      <w:pPr>
        <w:pStyle w:val="Ttulo2"/>
        <w:ind w:left="284"/>
      </w:pPr>
      <w:r>
        <w:t xml:space="preserve">5.2 </w:t>
      </w:r>
      <w:r w:rsidR="005171E6" w:rsidRPr="00CF43F6">
        <w:t>DESCRIPCIÓN DE LAS MESAS.</w:t>
      </w:r>
      <w:bookmarkEnd w:id="8"/>
    </w:p>
    <w:p w14:paraId="3BBA7662" w14:textId="68C2ED2E" w:rsidR="00BE670C" w:rsidRPr="00CF43F6" w:rsidRDefault="00BE670C" w:rsidP="005F7723">
      <w:pPr>
        <w:spacing w:line="276" w:lineRule="auto"/>
        <w:jc w:val="both"/>
        <w:rPr>
          <w:rFonts w:ascii="Century Gothic" w:hAnsi="Century Gothic" w:cstheme="minorHAnsi"/>
          <w:b/>
          <w:sz w:val="20"/>
          <w:szCs w:val="20"/>
        </w:rPr>
      </w:pPr>
    </w:p>
    <w:p w14:paraId="6B323309" w14:textId="237B0948" w:rsidR="008C0BED" w:rsidRDefault="008C0BED" w:rsidP="008C0BED">
      <w:pPr>
        <w:spacing w:line="276" w:lineRule="auto"/>
        <w:jc w:val="both"/>
        <w:rPr>
          <w:rFonts w:ascii="Century Gothic" w:hAnsi="Century Gothic" w:cstheme="minorHAnsi"/>
          <w:sz w:val="20"/>
          <w:szCs w:val="20"/>
        </w:rPr>
      </w:pPr>
      <w:r w:rsidRPr="00CF43F6">
        <w:rPr>
          <w:rFonts w:ascii="Century Gothic" w:hAnsi="Century Gothic" w:cstheme="minorHAnsi"/>
          <w:b/>
          <w:sz w:val="20"/>
          <w:szCs w:val="20"/>
        </w:rPr>
        <w:t>Me</w:t>
      </w:r>
      <w:r>
        <w:rPr>
          <w:rFonts w:ascii="Century Gothic" w:hAnsi="Century Gothic" w:cstheme="minorHAnsi"/>
          <w:b/>
          <w:sz w:val="20"/>
          <w:szCs w:val="20"/>
        </w:rPr>
        <w:t>sa 1</w:t>
      </w:r>
      <w:r w:rsidRPr="00CF43F6">
        <w:rPr>
          <w:rFonts w:ascii="Century Gothic" w:hAnsi="Century Gothic" w:cstheme="minorHAnsi"/>
          <w:b/>
          <w:sz w:val="20"/>
          <w:szCs w:val="20"/>
        </w:rPr>
        <w:t>:</w:t>
      </w:r>
      <w:r w:rsidRPr="00CF43F6">
        <w:rPr>
          <w:rFonts w:ascii="Century Gothic" w:hAnsi="Century Gothic" w:cstheme="minorHAnsi"/>
          <w:sz w:val="20"/>
          <w:szCs w:val="20"/>
        </w:rPr>
        <w:t xml:space="preserve"> Eje de Gobernabilidad e Institucionalidad: Que construya una cultura política ciudadana y un marco institucional que haga posible la gobernabilidad democrática y el cumplimiento de las normas de convivencia.</w:t>
      </w:r>
    </w:p>
    <w:p w14:paraId="7FDCC74B" w14:textId="451A41D0" w:rsidR="008C0BED" w:rsidRPr="00CF43F6" w:rsidRDefault="008C0BED" w:rsidP="008C0BED">
      <w:pPr>
        <w:spacing w:line="276" w:lineRule="auto"/>
        <w:jc w:val="both"/>
        <w:rPr>
          <w:rFonts w:ascii="Century Gothic" w:hAnsi="Century Gothic" w:cstheme="minorHAnsi"/>
          <w:sz w:val="20"/>
          <w:szCs w:val="20"/>
        </w:rPr>
      </w:pPr>
    </w:p>
    <w:p w14:paraId="79AAA572" w14:textId="5EE9F290" w:rsidR="00EA4D44" w:rsidRDefault="00EA4D44" w:rsidP="00EA4D44">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General de Coordinación Territorial Gobernabil</w:t>
      </w:r>
      <w:r>
        <w:rPr>
          <w:rFonts w:ascii="Century Gothic" w:hAnsi="Century Gothic" w:cstheme="minorHAnsi"/>
          <w:sz w:val="20"/>
          <w:szCs w:val="20"/>
        </w:rPr>
        <w:t xml:space="preserve">idad y Participación </w:t>
      </w:r>
      <w:r w:rsidR="00FF3A49">
        <w:rPr>
          <w:rFonts w:ascii="Century Gothic" w:hAnsi="Century Gothic" w:cstheme="minorHAnsi"/>
          <w:sz w:val="20"/>
          <w:szCs w:val="20"/>
        </w:rPr>
        <w:t xml:space="preserve">Ex Secretaría General de Coordinación Territorial y Participación Ciudadana </w:t>
      </w:r>
      <w:r>
        <w:rPr>
          <w:rFonts w:ascii="Century Gothic" w:hAnsi="Century Gothic" w:cstheme="minorHAnsi"/>
          <w:sz w:val="20"/>
          <w:szCs w:val="20"/>
        </w:rPr>
        <w:t>(Administraciones Zonales) Unidades Especiales: Regula tu barrio, Adm. Especial Turística La Mariscal.</w:t>
      </w:r>
    </w:p>
    <w:p w14:paraId="5030A812" w14:textId="777DD1D7" w:rsidR="00EA4D44" w:rsidRPr="00EA4D44" w:rsidRDefault="00EA4D44" w:rsidP="00EA4D44">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sz w:val="20"/>
          <w:szCs w:val="20"/>
        </w:rPr>
        <w:t>Alcaldía, Secretaría de Conce</w:t>
      </w:r>
      <w:r w:rsidR="007742AA">
        <w:rPr>
          <w:rFonts w:ascii="Century Gothic" w:hAnsi="Century Gothic" w:cstheme="minorHAnsi"/>
          <w:sz w:val="20"/>
          <w:szCs w:val="20"/>
        </w:rPr>
        <w:t>jo, Procuraduría, Quito Honesto, Relaciones Internacionales.</w:t>
      </w:r>
    </w:p>
    <w:p w14:paraId="2A3611BA" w14:textId="0B33EBBA" w:rsidR="00EA4D44" w:rsidRDefault="00EA4D44" w:rsidP="007F7A82">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sz w:val="20"/>
          <w:szCs w:val="20"/>
        </w:rPr>
        <w:t>Administración General, Registro de la Propiedad</w:t>
      </w:r>
    </w:p>
    <w:p w14:paraId="6A5299D3" w14:textId="77777777" w:rsidR="00EA4D44" w:rsidRDefault="00EA4D44" w:rsidP="007F7A82">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sz w:val="20"/>
          <w:szCs w:val="20"/>
        </w:rPr>
        <w:t>Secretaría de Comunicación</w:t>
      </w:r>
    </w:p>
    <w:p w14:paraId="25104454" w14:textId="2CA4720C" w:rsidR="00EA4D44" w:rsidRDefault="00EA4D44" w:rsidP="007F7A82">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Agencia Metropolitana de Control </w:t>
      </w:r>
    </w:p>
    <w:p w14:paraId="1C2D3C68" w14:textId="626F012A" w:rsidR="00EA4D44" w:rsidRDefault="007F7A82" w:rsidP="007F7A82">
      <w:pPr>
        <w:pStyle w:val="Prrafodelista"/>
        <w:numPr>
          <w:ilvl w:val="0"/>
          <w:numId w:val="23"/>
        </w:numPr>
        <w:spacing w:line="276" w:lineRule="auto"/>
        <w:jc w:val="both"/>
        <w:rPr>
          <w:rFonts w:ascii="Century Gothic" w:hAnsi="Century Gothic" w:cstheme="minorHAnsi"/>
          <w:sz w:val="20"/>
          <w:szCs w:val="20"/>
        </w:rPr>
      </w:pPr>
      <w:r w:rsidRPr="00E477D0">
        <w:rPr>
          <w:rFonts w:ascii="Century Gothic" w:hAnsi="Century Gothic" w:cstheme="minorHAnsi"/>
          <w:sz w:val="20"/>
          <w:szCs w:val="20"/>
        </w:rPr>
        <w:t>Secretaría General de Planificación</w:t>
      </w:r>
      <w:r w:rsidR="00B13C72" w:rsidRPr="00E477D0">
        <w:rPr>
          <w:rFonts w:ascii="Century Gothic" w:hAnsi="Century Gothic" w:cstheme="minorHAnsi"/>
          <w:sz w:val="20"/>
          <w:szCs w:val="20"/>
        </w:rPr>
        <w:t>,</w:t>
      </w:r>
      <w:r w:rsidR="007742AA">
        <w:rPr>
          <w:rFonts w:ascii="Century Gothic" w:hAnsi="Century Gothic" w:cstheme="minorHAnsi"/>
          <w:sz w:val="20"/>
          <w:szCs w:val="20"/>
        </w:rPr>
        <w:t xml:space="preserve"> IMPU</w:t>
      </w:r>
      <w:r w:rsidR="00EA4D44">
        <w:rPr>
          <w:rFonts w:ascii="Century Gothic" w:hAnsi="Century Gothic" w:cstheme="minorHAnsi"/>
          <w:sz w:val="20"/>
          <w:szCs w:val="20"/>
        </w:rPr>
        <w:t>, Instituto de Capacitación ICAM</w:t>
      </w:r>
    </w:p>
    <w:p w14:paraId="1527EC89" w14:textId="27DAE99B" w:rsidR="00EA4D44" w:rsidRPr="00EA4D44" w:rsidRDefault="00B13C72" w:rsidP="00EA4D44">
      <w:pPr>
        <w:pStyle w:val="Prrafodelista"/>
        <w:numPr>
          <w:ilvl w:val="0"/>
          <w:numId w:val="24"/>
        </w:numPr>
        <w:spacing w:line="276" w:lineRule="auto"/>
        <w:jc w:val="both"/>
        <w:rPr>
          <w:rFonts w:ascii="Century Gothic" w:hAnsi="Century Gothic" w:cstheme="minorHAnsi"/>
          <w:sz w:val="20"/>
          <w:szCs w:val="20"/>
        </w:rPr>
      </w:pPr>
      <w:r w:rsidRPr="00EA4D44">
        <w:rPr>
          <w:rFonts w:ascii="Century Gothic" w:hAnsi="Century Gothic" w:cstheme="minorHAnsi"/>
          <w:sz w:val="20"/>
          <w:szCs w:val="20"/>
        </w:rPr>
        <w:t>Secretaría de T</w:t>
      </w:r>
      <w:r w:rsidR="00E477D0" w:rsidRPr="00EA4D44">
        <w:rPr>
          <w:rFonts w:ascii="Century Gothic" w:hAnsi="Century Gothic" w:cstheme="minorHAnsi"/>
          <w:sz w:val="20"/>
          <w:szCs w:val="20"/>
        </w:rPr>
        <w:t>ecnologías de la Información y Comunicac</w:t>
      </w:r>
      <w:r w:rsidR="00EA4D44">
        <w:rPr>
          <w:rFonts w:ascii="Century Gothic" w:hAnsi="Century Gothic" w:cstheme="minorHAnsi"/>
          <w:sz w:val="20"/>
          <w:szCs w:val="20"/>
        </w:rPr>
        <w:t>ión.</w:t>
      </w:r>
    </w:p>
    <w:p w14:paraId="66D9058F" w14:textId="2E392DA7" w:rsidR="008C0BED" w:rsidRPr="00EA4D44" w:rsidRDefault="008C0BED" w:rsidP="00F071BC">
      <w:pPr>
        <w:pStyle w:val="Prrafodelista"/>
        <w:numPr>
          <w:ilvl w:val="0"/>
          <w:numId w:val="24"/>
        </w:numPr>
        <w:spacing w:line="276" w:lineRule="auto"/>
        <w:jc w:val="both"/>
        <w:rPr>
          <w:rFonts w:ascii="Century Gothic" w:hAnsi="Century Gothic" w:cstheme="minorHAnsi"/>
          <w:sz w:val="20"/>
          <w:szCs w:val="20"/>
        </w:rPr>
      </w:pPr>
      <w:r w:rsidRPr="00EA4D44">
        <w:rPr>
          <w:rFonts w:ascii="Century Gothic" w:hAnsi="Century Gothic" w:cstheme="minorHAnsi"/>
          <w:b/>
          <w:sz w:val="20"/>
          <w:szCs w:val="20"/>
        </w:rPr>
        <w:t xml:space="preserve">Moderadoras/es </w:t>
      </w:r>
      <w:r w:rsidRPr="00EA4D44">
        <w:rPr>
          <w:rFonts w:ascii="Century Gothic" w:hAnsi="Century Gothic" w:cstheme="minorHAnsi"/>
          <w:sz w:val="20"/>
          <w:szCs w:val="20"/>
        </w:rPr>
        <w:t>(</w:t>
      </w:r>
      <w:r w:rsidR="007E1BEF" w:rsidRPr="00EA4D44">
        <w:rPr>
          <w:rFonts w:ascii="Century Gothic" w:hAnsi="Century Gothic" w:cstheme="minorHAnsi"/>
          <w:sz w:val="20"/>
          <w:szCs w:val="20"/>
        </w:rPr>
        <w:t>Autoridad del sector</w:t>
      </w:r>
      <w:r w:rsidRPr="00EA4D44">
        <w:rPr>
          <w:rFonts w:ascii="Century Gothic" w:hAnsi="Century Gothic" w:cstheme="minorHAnsi"/>
          <w:sz w:val="20"/>
          <w:szCs w:val="20"/>
        </w:rPr>
        <w:t>):</w:t>
      </w:r>
      <w:r w:rsidRPr="00EA4D44">
        <w:rPr>
          <w:rFonts w:ascii="Century Gothic" w:hAnsi="Century Gothic" w:cstheme="minorHAnsi"/>
          <w:b/>
          <w:sz w:val="20"/>
          <w:szCs w:val="20"/>
        </w:rPr>
        <w:t xml:space="preserve"> </w:t>
      </w:r>
    </w:p>
    <w:p w14:paraId="2EB72B99" w14:textId="0ABCC788" w:rsidR="008C0BED" w:rsidRPr="00210AB1" w:rsidRDefault="008C0BED" w:rsidP="008C0BED">
      <w:pPr>
        <w:pStyle w:val="Prrafodelista"/>
        <w:numPr>
          <w:ilvl w:val="0"/>
          <w:numId w:val="24"/>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S</w:t>
      </w:r>
      <w:r>
        <w:rPr>
          <w:rFonts w:ascii="Century Gothic" w:hAnsi="Century Gothic" w:cstheme="minorHAnsi"/>
          <w:b/>
          <w:sz w:val="20"/>
          <w:szCs w:val="20"/>
        </w:rPr>
        <w:t xml:space="preserve">istematizadoras/es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40A3F808" w14:textId="31DA3058" w:rsidR="008C0BED" w:rsidRPr="003E402E" w:rsidRDefault="008C0BED" w:rsidP="008C0BED">
      <w:pPr>
        <w:pStyle w:val="Prrafodelista"/>
        <w:numPr>
          <w:ilvl w:val="0"/>
          <w:numId w:val="24"/>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Equipos técnicos de </w:t>
      </w:r>
      <w:r w:rsidR="003E402E">
        <w:rPr>
          <w:rFonts w:ascii="Century Gothic" w:hAnsi="Century Gothic" w:cstheme="minorHAnsi"/>
          <w:b/>
          <w:sz w:val="20"/>
          <w:szCs w:val="20"/>
        </w:rPr>
        <w:t>a</w:t>
      </w:r>
      <w:r w:rsidRPr="00210AB1">
        <w:rPr>
          <w:rFonts w:ascii="Century Gothic" w:hAnsi="Century Gothic" w:cstheme="minorHAnsi"/>
          <w:b/>
          <w:sz w:val="20"/>
          <w:szCs w:val="20"/>
        </w:rPr>
        <w:t>poyo</w:t>
      </w:r>
      <w:r w:rsidR="003E402E">
        <w:rPr>
          <w:rFonts w:ascii="Century Gothic" w:hAnsi="Century Gothic" w:cstheme="minorHAnsi"/>
          <w:b/>
          <w:sz w:val="20"/>
          <w:szCs w:val="20"/>
        </w:rPr>
        <w:t xml:space="preserve"> </w:t>
      </w:r>
      <w:r w:rsidR="003E402E">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1A7C65D3" w14:textId="1A7D6BCC" w:rsidR="003E402E" w:rsidRPr="003E402E" w:rsidRDefault="003E402E" w:rsidP="008C0BED">
      <w:pPr>
        <w:pStyle w:val="Prrafodelista"/>
        <w:numPr>
          <w:ilvl w:val="0"/>
          <w:numId w:val="24"/>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589D440E" w14:textId="2662981C" w:rsidR="003E402E" w:rsidRPr="009C7B08" w:rsidRDefault="003E402E" w:rsidP="008C0BED">
      <w:pPr>
        <w:pStyle w:val="Prrafodelista"/>
        <w:numPr>
          <w:ilvl w:val="0"/>
          <w:numId w:val="24"/>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442E4D57" w14:textId="77777777" w:rsidR="007742AA" w:rsidRDefault="007742AA" w:rsidP="008C0BED">
      <w:pPr>
        <w:spacing w:line="276" w:lineRule="auto"/>
        <w:jc w:val="both"/>
        <w:rPr>
          <w:rFonts w:ascii="Century Gothic" w:hAnsi="Century Gothic" w:cstheme="minorHAnsi"/>
          <w:b/>
          <w:sz w:val="20"/>
          <w:szCs w:val="20"/>
        </w:rPr>
      </w:pPr>
    </w:p>
    <w:p w14:paraId="450305A7" w14:textId="578C8099" w:rsidR="008C0BED" w:rsidRPr="00CF43F6" w:rsidRDefault="008C0BED" w:rsidP="008C0BED">
      <w:pPr>
        <w:spacing w:line="276" w:lineRule="auto"/>
        <w:jc w:val="both"/>
        <w:rPr>
          <w:rFonts w:ascii="Century Gothic" w:hAnsi="Century Gothic" w:cstheme="minorHAnsi"/>
          <w:b/>
          <w:sz w:val="20"/>
          <w:szCs w:val="20"/>
        </w:rPr>
      </w:pPr>
      <w:r>
        <w:rPr>
          <w:rFonts w:ascii="Century Gothic" w:hAnsi="Century Gothic" w:cstheme="minorHAnsi"/>
          <w:b/>
          <w:sz w:val="20"/>
          <w:szCs w:val="20"/>
        </w:rPr>
        <w:t>Mesa 2</w:t>
      </w:r>
      <w:r w:rsidRPr="00CF43F6">
        <w:rPr>
          <w:rFonts w:ascii="Century Gothic" w:hAnsi="Century Gothic" w:cstheme="minorHAnsi"/>
          <w:b/>
          <w:sz w:val="20"/>
          <w:szCs w:val="20"/>
        </w:rPr>
        <w:t xml:space="preserve">: Eje Territorial: </w:t>
      </w:r>
      <w:r w:rsidRPr="00CF43F6">
        <w:rPr>
          <w:rFonts w:ascii="Century Gothic" w:hAnsi="Century Gothic" w:cstheme="minorHAnsi"/>
          <w:sz w:val="20"/>
          <w:szCs w:val="20"/>
        </w:rPr>
        <w:t xml:space="preserve">Que desarrolle un territorio que consolide entornos favorables, regularizando la propiedad desde el punto de vista de la equidad social, identidad local </w:t>
      </w:r>
      <w:r w:rsidRPr="00CF43F6">
        <w:rPr>
          <w:rFonts w:ascii="Century Gothic" w:hAnsi="Century Gothic" w:cstheme="minorHAnsi"/>
          <w:sz w:val="20"/>
          <w:szCs w:val="20"/>
        </w:rPr>
        <w:lastRenderedPageBreak/>
        <w:t>y sostenibilidad ambiental, dotándolo de la infraestructura vial que mejore la circulación vehicular.</w:t>
      </w:r>
    </w:p>
    <w:p w14:paraId="1FFCB0C3" w14:textId="77777777" w:rsidR="008C0BED" w:rsidRDefault="008C0BED" w:rsidP="008C0BED">
      <w:pPr>
        <w:spacing w:line="276" w:lineRule="auto"/>
        <w:jc w:val="both"/>
        <w:rPr>
          <w:rFonts w:ascii="Century Gothic" w:hAnsi="Century Gothic" w:cstheme="minorHAnsi"/>
          <w:b/>
          <w:sz w:val="20"/>
          <w:szCs w:val="20"/>
        </w:rPr>
      </w:pPr>
    </w:p>
    <w:p w14:paraId="28187C92" w14:textId="1674E5E5" w:rsidR="002C51F4" w:rsidRDefault="002C51F4" w:rsidP="006E5070">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Secretaría de Ambiente, EMASEO, EMGIRS-EP, </w:t>
      </w:r>
    </w:p>
    <w:p w14:paraId="4C0C0153" w14:textId="76340A08" w:rsidR="002C51F4" w:rsidRPr="002C51F4" w:rsidRDefault="006E5070" w:rsidP="002C51F4">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 Háb</w:t>
      </w:r>
      <w:r>
        <w:rPr>
          <w:rFonts w:ascii="Century Gothic" w:hAnsi="Century Gothic" w:cstheme="minorHAnsi"/>
          <w:sz w:val="20"/>
          <w:szCs w:val="20"/>
        </w:rPr>
        <w:t>itat y Ordenamiento Territorial, ex Secretaría d</w:t>
      </w:r>
      <w:r w:rsidR="002C51F4">
        <w:rPr>
          <w:rFonts w:ascii="Century Gothic" w:hAnsi="Century Gothic" w:cstheme="minorHAnsi"/>
          <w:sz w:val="20"/>
          <w:szCs w:val="20"/>
        </w:rPr>
        <w:t xml:space="preserve">e Territorio Hábitat y Vivienda, </w:t>
      </w:r>
      <w:r w:rsidR="002C51F4" w:rsidRPr="002C51F4">
        <w:rPr>
          <w:rFonts w:ascii="Century Gothic" w:hAnsi="Century Gothic" w:cstheme="minorHAnsi"/>
          <w:sz w:val="20"/>
          <w:szCs w:val="20"/>
        </w:rPr>
        <w:t>EPMAPS</w:t>
      </w:r>
      <w:r w:rsidR="002C51F4">
        <w:rPr>
          <w:rFonts w:ascii="Century Gothic" w:hAnsi="Century Gothic" w:cstheme="minorHAnsi"/>
          <w:sz w:val="20"/>
          <w:szCs w:val="20"/>
        </w:rPr>
        <w:t xml:space="preserve">, </w:t>
      </w:r>
      <w:r w:rsidR="002C51F4" w:rsidRPr="002C51F4">
        <w:rPr>
          <w:rFonts w:ascii="Century Gothic" w:hAnsi="Century Gothic" w:cstheme="minorHAnsi"/>
          <w:sz w:val="20"/>
          <w:szCs w:val="20"/>
        </w:rPr>
        <w:t xml:space="preserve">Empresa Pública Metropolitana de </w:t>
      </w:r>
      <w:r w:rsidR="007742AA" w:rsidRPr="002C51F4">
        <w:rPr>
          <w:rFonts w:ascii="Century Gothic" w:hAnsi="Century Gothic" w:cstheme="minorHAnsi"/>
          <w:sz w:val="20"/>
          <w:szCs w:val="20"/>
        </w:rPr>
        <w:t>Hábitat</w:t>
      </w:r>
      <w:r w:rsidR="002C51F4" w:rsidRPr="002C51F4">
        <w:rPr>
          <w:rFonts w:ascii="Century Gothic" w:hAnsi="Century Gothic" w:cstheme="minorHAnsi"/>
          <w:sz w:val="20"/>
          <w:szCs w:val="20"/>
        </w:rPr>
        <w:t xml:space="preserve"> y Vivienda</w:t>
      </w:r>
      <w:r w:rsidR="002C51F4">
        <w:rPr>
          <w:rFonts w:ascii="Century Gothic" w:hAnsi="Century Gothic" w:cstheme="minorHAnsi"/>
          <w:sz w:val="20"/>
          <w:szCs w:val="20"/>
        </w:rPr>
        <w:t xml:space="preserve">, Instituto Metropolitano de Patrimonio, </w:t>
      </w:r>
    </w:p>
    <w:p w14:paraId="3C15DB31" w14:textId="57B92344" w:rsidR="008C0BED" w:rsidRDefault="008C0BED" w:rsidP="008C0BED">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w:t>
      </w:r>
      <w:r w:rsidR="002C51F4">
        <w:rPr>
          <w:rFonts w:ascii="Century Gothic" w:hAnsi="Century Gothic" w:cstheme="minorHAnsi"/>
          <w:sz w:val="20"/>
          <w:szCs w:val="20"/>
        </w:rPr>
        <w:t>ecretaría de Movilidad,</w:t>
      </w:r>
      <w:r w:rsidRPr="00210AB1">
        <w:rPr>
          <w:rFonts w:ascii="Century Gothic" w:hAnsi="Century Gothic" w:cstheme="minorHAnsi"/>
          <w:sz w:val="20"/>
          <w:szCs w:val="20"/>
        </w:rPr>
        <w:t xml:space="preserve"> EPMMOP, </w:t>
      </w:r>
      <w:r w:rsidR="00B13C72">
        <w:rPr>
          <w:rFonts w:ascii="Century Gothic" w:hAnsi="Century Gothic" w:cstheme="minorHAnsi"/>
          <w:sz w:val="20"/>
          <w:szCs w:val="20"/>
        </w:rPr>
        <w:t>A</w:t>
      </w:r>
      <w:r w:rsidR="00E477D0">
        <w:rPr>
          <w:rFonts w:ascii="Century Gothic" w:hAnsi="Century Gothic" w:cstheme="minorHAnsi"/>
          <w:sz w:val="20"/>
          <w:szCs w:val="20"/>
        </w:rPr>
        <w:t xml:space="preserve">gencia </w:t>
      </w:r>
      <w:r w:rsidR="00B13C72">
        <w:rPr>
          <w:rFonts w:ascii="Century Gothic" w:hAnsi="Century Gothic" w:cstheme="minorHAnsi"/>
          <w:sz w:val="20"/>
          <w:szCs w:val="20"/>
        </w:rPr>
        <w:t>M</w:t>
      </w:r>
      <w:r w:rsidR="00E477D0">
        <w:rPr>
          <w:rFonts w:ascii="Century Gothic" w:hAnsi="Century Gothic" w:cstheme="minorHAnsi"/>
          <w:sz w:val="20"/>
          <w:szCs w:val="20"/>
        </w:rPr>
        <w:t xml:space="preserve">etropolitana de </w:t>
      </w:r>
      <w:r w:rsidR="00B13C72">
        <w:rPr>
          <w:rFonts w:ascii="Century Gothic" w:hAnsi="Century Gothic" w:cstheme="minorHAnsi"/>
          <w:sz w:val="20"/>
          <w:szCs w:val="20"/>
        </w:rPr>
        <w:t>T</w:t>
      </w:r>
      <w:r w:rsidR="00E477D0">
        <w:rPr>
          <w:rFonts w:ascii="Century Gothic" w:hAnsi="Century Gothic" w:cstheme="minorHAnsi"/>
          <w:sz w:val="20"/>
          <w:szCs w:val="20"/>
        </w:rPr>
        <w:t>ránsito</w:t>
      </w:r>
      <w:r w:rsidR="00B13C72">
        <w:rPr>
          <w:rFonts w:ascii="Century Gothic" w:hAnsi="Century Gothic" w:cstheme="minorHAnsi"/>
          <w:sz w:val="20"/>
          <w:szCs w:val="20"/>
        </w:rPr>
        <w:t>,</w:t>
      </w:r>
      <w:r w:rsidR="002C51F4">
        <w:rPr>
          <w:rFonts w:ascii="Century Gothic" w:hAnsi="Century Gothic" w:cstheme="minorHAnsi"/>
          <w:sz w:val="20"/>
          <w:szCs w:val="20"/>
        </w:rPr>
        <w:t xml:space="preserve"> EPM METRO de Quito, EPM Transporte de Pasajeros</w:t>
      </w:r>
      <w:r w:rsidR="00B13C72">
        <w:rPr>
          <w:rFonts w:ascii="Century Gothic" w:hAnsi="Century Gothic" w:cstheme="minorHAnsi"/>
          <w:sz w:val="20"/>
          <w:szCs w:val="20"/>
        </w:rPr>
        <w:t>)</w:t>
      </w:r>
    </w:p>
    <w:p w14:paraId="407E6225" w14:textId="29173F6B" w:rsidR="003E402E" w:rsidRPr="00210AB1" w:rsidRDefault="003E402E" w:rsidP="003E402E">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4B88087F" w14:textId="77777777" w:rsidR="003E402E" w:rsidRPr="00210AB1" w:rsidRDefault="003E402E" w:rsidP="003E402E">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S</w:t>
      </w:r>
      <w:r>
        <w:rPr>
          <w:rFonts w:ascii="Century Gothic" w:hAnsi="Century Gothic" w:cstheme="minorHAnsi"/>
          <w:b/>
          <w:sz w:val="20"/>
          <w:szCs w:val="20"/>
        </w:rPr>
        <w:t xml:space="preserve">istematizadoras/es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3CBACEEC" w14:textId="77777777" w:rsidR="003E402E" w:rsidRPr="003E402E" w:rsidRDefault="003E402E" w:rsidP="003E402E">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b/>
          <w:sz w:val="20"/>
          <w:szCs w:val="20"/>
        </w:rPr>
        <w:t>Equipos técnicos de a</w:t>
      </w:r>
      <w:r w:rsidRPr="00210AB1">
        <w:rPr>
          <w:rFonts w:ascii="Century Gothic" w:hAnsi="Century Gothic" w:cstheme="minorHAnsi"/>
          <w:b/>
          <w:sz w:val="20"/>
          <w:szCs w:val="20"/>
        </w:rPr>
        <w:t>poyo</w:t>
      </w:r>
      <w:r>
        <w:rPr>
          <w:rFonts w:ascii="Century Gothic" w:hAnsi="Century Gothic" w:cstheme="minorHAnsi"/>
          <w:b/>
          <w:sz w:val="20"/>
          <w:szCs w:val="20"/>
        </w:rPr>
        <w:t xml:space="preserve">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65A104F4" w14:textId="77777777" w:rsidR="003E402E" w:rsidRPr="003E402E" w:rsidRDefault="003E402E" w:rsidP="003E402E">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6D4800F2" w14:textId="77777777" w:rsidR="003E402E" w:rsidRPr="009C7B08" w:rsidRDefault="003E402E" w:rsidP="003E402E">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08EFF9DE" w14:textId="6BFD31C7" w:rsidR="00210AB1" w:rsidRDefault="008C0BED" w:rsidP="00210AB1">
      <w:pPr>
        <w:spacing w:line="276" w:lineRule="auto"/>
        <w:jc w:val="both"/>
        <w:rPr>
          <w:rFonts w:ascii="Century Gothic" w:hAnsi="Century Gothic" w:cstheme="minorHAnsi"/>
          <w:sz w:val="20"/>
          <w:szCs w:val="20"/>
        </w:rPr>
      </w:pPr>
      <w:r>
        <w:rPr>
          <w:rFonts w:ascii="Century Gothic" w:hAnsi="Century Gothic" w:cstheme="minorHAnsi"/>
          <w:b/>
          <w:sz w:val="20"/>
          <w:szCs w:val="20"/>
        </w:rPr>
        <w:t>Mesa 3</w:t>
      </w:r>
      <w:r w:rsidR="00BE670C" w:rsidRPr="00CF43F6">
        <w:rPr>
          <w:rFonts w:ascii="Century Gothic" w:hAnsi="Century Gothic" w:cstheme="minorHAnsi"/>
          <w:b/>
          <w:sz w:val="20"/>
          <w:szCs w:val="20"/>
        </w:rPr>
        <w:t>: Eje Económico:</w:t>
      </w:r>
      <w:r w:rsidR="00BE670C" w:rsidRPr="00CF43F6">
        <w:rPr>
          <w:rFonts w:ascii="Century Gothic" w:hAnsi="Century Gothic" w:cstheme="minorHAnsi"/>
          <w:sz w:val="20"/>
          <w:szCs w:val="20"/>
        </w:rPr>
        <w:t xml:space="preserve"> Que impulse una economía productiva, competitiva, diversificada </w:t>
      </w:r>
      <w:r w:rsidR="00DD28A8" w:rsidRPr="00CF43F6">
        <w:rPr>
          <w:rFonts w:ascii="Century Gothic" w:hAnsi="Century Gothic" w:cstheme="minorHAnsi"/>
          <w:sz w:val="20"/>
          <w:szCs w:val="20"/>
        </w:rPr>
        <w:t>y solidaria</w:t>
      </w:r>
      <w:r w:rsidR="00BE670C" w:rsidRPr="00CF43F6">
        <w:rPr>
          <w:rFonts w:ascii="Century Gothic" w:hAnsi="Century Gothic" w:cstheme="minorHAnsi"/>
          <w:sz w:val="20"/>
          <w:szCs w:val="20"/>
        </w:rPr>
        <w:t xml:space="preserve"> que proporcione bienestar a toda la población y genere empleo y trabajo.</w:t>
      </w:r>
      <w:r w:rsidR="00BE670C" w:rsidRPr="00CF43F6">
        <w:rPr>
          <w:rFonts w:ascii="Century Gothic" w:hAnsi="Century Gothic" w:cstheme="minorHAnsi"/>
          <w:sz w:val="20"/>
          <w:szCs w:val="20"/>
        </w:rPr>
        <w:cr/>
      </w:r>
    </w:p>
    <w:p w14:paraId="5A3C7EC4" w14:textId="1C1B61EE" w:rsidR="00B13C72" w:rsidRPr="00E477D0" w:rsidRDefault="00DD28A8" w:rsidP="00E477D0">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w:t>
      </w:r>
      <w:r w:rsidR="00E477D0">
        <w:rPr>
          <w:rFonts w:ascii="Century Gothic" w:hAnsi="Century Gothic" w:cstheme="minorHAnsi"/>
          <w:sz w:val="20"/>
          <w:szCs w:val="20"/>
        </w:rPr>
        <w:t xml:space="preserve"> Desarrollo Productivo,</w:t>
      </w:r>
      <w:r w:rsidR="00FF3A49">
        <w:rPr>
          <w:rFonts w:ascii="Century Gothic" w:hAnsi="Century Gothic" w:cstheme="minorHAnsi"/>
          <w:sz w:val="20"/>
          <w:szCs w:val="20"/>
        </w:rPr>
        <w:t xml:space="preserve"> ACDC, EPM Mercado Mayorista,</w:t>
      </w:r>
      <w:r w:rsidR="00E477D0">
        <w:rPr>
          <w:rFonts w:ascii="Century Gothic" w:hAnsi="Century Gothic" w:cstheme="minorHAnsi"/>
          <w:sz w:val="20"/>
          <w:szCs w:val="20"/>
        </w:rPr>
        <w:t xml:space="preserve"> Empresa Pública Metropolitana de Rastro, </w:t>
      </w:r>
      <w:r w:rsidR="00FF3A49">
        <w:rPr>
          <w:rFonts w:ascii="Century Gothic" w:hAnsi="Century Gothic" w:cstheme="minorHAnsi"/>
          <w:sz w:val="20"/>
          <w:szCs w:val="20"/>
        </w:rPr>
        <w:t xml:space="preserve">EPMSA, EPM Gestión de Destino Turístico </w:t>
      </w:r>
      <w:r w:rsidR="00E477D0">
        <w:rPr>
          <w:rFonts w:ascii="Century Gothic" w:hAnsi="Century Gothic" w:cstheme="minorHAnsi"/>
          <w:sz w:val="20"/>
          <w:szCs w:val="20"/>
        </w:rPr>
        <w:t>Quito Turismo,</w:t>
      </w:r>
      <w:r w:rsidR="00FF3A49">
        <w:rPr>
          <w:rFonts w:ascii="Century Gothic" w:hAnsi="Century Gothic" w:cstheme="minorHAnsi"/>
          <w:sz w:val="20"/>
          <w:szCs w:val="20"/>
        </w:rPr>
        <w:t xml:space="preserve"> CONQUITO.</w:t>
      </w:r>
    </w:p>
    <w:p w14:paraId="474649C3" w14:textId="3693B0C6" w:rsidR="00210AB1" w:rsidRDefault="00BE670C" w:rsidP="00210AB1">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A</w:t>
      </w:r>
      <w:r w:rsidR="00E477D0">
        <w:rPr>
          <w:rFonts w:ascii="Century Gothic" w:hAnsi="Century Gothic" w:cstheme="minorHAnsi"/>
          <w:sz w:val="20"/>
          <w:szCs w:val="20"/>
        </w:rPr>
        <w:t xml:space="preserve">gencia Metropolitana de Coordinación de Comercio </w:t>
      </w:r>
      <w:r w:rsidRPr="00210AB1">
        <w:rPr>
          <w:rFonts w:ascii="Century Gothic" w:hAnsi="Century Gothic" w:cstheme="minorHAnsi"/>
          <w:sz w:val="20"/>
          <w:szCs w:val="20"/>
        </w:rPr>
        <w:t xml:space="preserve">y </w:t>
      </w:r>
      <w:r w:rsidR="00E477D0">
        <w:rPr>
          <w:rFonts w:ascii="Century Gothic" w:hAnsi="Century Gothic" w:cstheme="minorHAnsi"/>
          <w:sz w:val="20"/>
          <w:szCs w:val="20"/>
        </w:rPr>
        <w:t xml:space="preserve">Representante </w:t>
      </w:r>
      <w:r w:rsidRPr="00210AB1">
        <w:rPr>
          <w:rFonts w:ascii="Century Gothic" w:hAnsi="Century Gothic" w:cstheme="minorHAnsi"/>
          <w:sz w:val="20"/>
          <w:szCs w:val="20"/>
        </w:rPr>
        <w:t xml:space="preserve">de Mercados. </w:t>
      </w:r>
    </w:p>
    <w:p w14:paraId="7E592ADD" w14:textId="29384859" w:rsidR="003E402E" w:rsidRPr="00210AB1" w:rsidRDefault="003E402E" w:rsidP="003E402E">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3DCE504E" w14:textId="77777777" w:rsidR="003E402E" w:rsidRPr="00210AB1" w:rsidRDefault="003E402E" w:rsidP="003E402E">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S</w:t>
      </w:r>
      <w:r>
        <w:rPr>
          <w:rFonts w:ascii="Century Gothic" w:hAnsi="Century Gothic" w:cstheme="minorHAnsi"/>
          <w:b/>
          <w:sz w:val="20"/>
          <w:szCs w:val="20"/>
        </w:rPr>
        <w:t xml:space="preserve">istematizadoras/es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2EEB8918" w14:textId="77777777" w:rsidR="003E402E" w:rsidRPr="003E402E" w:rsidRDefault="003E402E" w:rsidP="003E402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b/>
          <w:sz w:val="20"/>
          <w:szCs w:val="20"/>
        </w:rPr>
        <w:t>Equipos técnicos de a</w:t>
      </w:r>
      <w:r w:rsidRPr="00210AB1">
        <w:rPr>
          <w:rFonts w:ascii="Century Gothic" w:hAnsi="Century Gothic" w:cstheme="minorHAnsi"/>
          <w:b/>
          <w:sz w:val="20"/>
          <w:szCs w:val="20"/>
        </w:rPr>
        <w:t>poyo</w:t>
      </w:r>
      <w:r>
        <w:rPr>
          <w:rFonts w:ascii="Century Gothic" w:hAnsi="Century Gothic" w:cstheme="minorHAnsi"/>
          <w:b/>
          <w:sz w:val="20"/>
          <w:szCs w:val="20"/>
        </w:rPr>
        <w:t xml:space="preserve">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1CF71F82" w14:textId="77777777" w:rsidR="003E402E" w:rsidRPr="003E402E" w:rsidRDefault="003E402E" w:rsidP="003E402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786D7361" w14:textId="7EDCCB87" w:rsidR="002E2278" w:rsidRPr="00CB3B50" w:rsidRDefault="003E402E" w:rsidP="00CB3B50">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73A42EDD" w14:textId="12B1D4CF" w:rsidR="00BE670C" w:rsidRPr="00CF43F6" w:rsidRDefault="008C0BED" w:rsidP="005F7723">
      <w:pPr>
        <w:spacing w:line="276" w:lineRule="auto"/>
        <w:jc w:val="both"/>
        <w:rPr>
          <w:rFonts w:ascii="Century Gothic" w:hAnsi="Century Gothic" w:cstheme="minorHAnsi"/>
          <w:sz w:val="20"/>
          <w:szCs w:val="20"/>
        </w:rPr>
      </w:pPr>
      <w:r>
        <w:rPr>
          <w:rFonts w:ascii="Century Gothic" w:hAnsi="Century Gothic" w:cstheme="minorHAnsi"/>
          <w:b/>
          <w:sz w:val="20"/>
          <w:szCs w:val="20"/>
        </w:rPr>
        <w:t>Mesa 4</w:t>
      </w:r>
      <w:r w:rsidR="00BE670C" w:rsidRPr="00CF43F6">
        <w:rPr>
          <w:rFonts w:ascii="Century Gothic" w:hAnsi="Century Gothic" w:cstheme="minorHAnsi"/>
          <w:b/>
          <w:sz w:val="20"/>
          <w:szCs w:val="20"/>
        </w:rPr>
        <w:t xml:space="preserve">: Eje Social: </w:t>
      </w:r>
      <w:r w:rsidR="00BE670C" w:rsidRPr="00CF43F6">
        <w:rPr>
          <w:rFonts w:ascii="Century Gothic" w:hAnsi="Century Gothic" w:cstheme="minorHAnsi"/>
          <w:sz w:val="20"/>
          <w:szCs w:val="20"/>
        </w:rPr>
        <w:t>Que promueva una sociedad equitativa, solidaria e incluyente que respete la diversidad social y cultural, que construya una cultura de paz entre sus habitantes, con acceso a una mejor calidad de vida en educación, salud, seguridad, cultura, recreación y demás.</w:t>
      </w:r>
    </w:p>
    <w:p w14:paraId="278BAD39" w14:textId="34813E72" w:rsidR="00BE670C" w:rsidRPr="00CF43F6" w:rsidRDefault="00BE670C" w:rsidP="005F7723">
      <w:pPr>
        <w:spacing w:line="276" w:lineRule="auto"/>
        <w:jc w:val="both"/>
        <w:rPr>
          <w:rFonts w:ascii="Century Gothic" w:hAnsi="Century Gothic" w:cstheme="minorHAnsi"/>
          <w:b/>
          <w:sz w:val="20"/>
          <w:szCs w:val="20"/>
        </w:rPr>
      </w:pPr>
    </w:p>
    <w:p w14:paraId="78AC6053" w14:textId="77777777" w:rsidR="00FF3A49" w:rsidRDefault="00B70EBE" w:rsidP="00FF3A49">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w:t>
      </w:r>
      <w:r w:rsidR="00FF3A49">
        <w:rPr>
          <w:rFonts w:ascii="Century Gothic" w:hAnsi="Century Gothic" w:cstheme="minorHAnsi"/>
          <w:sz w:val="20"/>
          <w:szCs w:val="20"/>
        </w:rPr>
        <w:t xml:space="preserve"> de Cultura, Fundación Museos de la Ciudad, Fundación Teatro Nacional Sucre.</w:t>
      </w:r>
    </w:p>
    <w:p w14:paraId="4ACB8D08" w14:textId="7F176152" w:rsidR="00210AB1" w:rsidRPr="00FF3A49" w:rsidRDefault="00B70EBE" w:rsidP="00FF3A49">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 Educación, Recreación y Deporte.</w:t>
      </w:r>
      <w:r w:rsidR="006E5070">
        <w:rPr>
          <w:rFonts w:ascii="Century Gothic" w:hAnsi="Century Gothic" w:cstheme="minorHAnsi"/>
          <w:sz w:val="20"/>
          <w:szCs w:val="20"/>
        </w:rPr>
        <w:t xml:space="preserve"> (</w:t>
      </w:r>
      <w:r w:rsidR="00FF3A49" w:rsidRPr="00FF3A49">
        <w:rPr>
          <w:rFonts w:ascii="Century Gothic" w:hAnsi="Century Gothic" w:cstheme="minorHAnsi"/>
          <w:sz w:val="20"/>
          <w:szCs w:val="20"/>
        </w:rPr>
        <w:t xml:space="preserve">Unidades Educativas: Bicentenario; Espejo; Julio E. Moreno; Oswaldo </w:t>
      </w:r>
      <w:proofErr w:type="spellStart"/>
      <w:r w:rsidR="00FF3A49" w:rsidRPr="00FF3A49">
        <w:rPr>
          <w:rFonts w:ascii="Century Gothic" w:hAnsi="Century Gothic" w:cstheme="minorHAnsi"/>
          <w:sz w:val="20"/>
          <w:szCs w:val="20"/>
        </w:rPr>
        <w:t>Lombeyda</w:t>
      </w:r>
      <w:proofErr w:type="spellEnd"/>
      <w:r w:rsidR="00FF3A49" w:rsidRPr="00FF3A49">
        <w:rPr>
          <w:rFonts w:ascii="Century Gothic" w:hAnsi="Century Gothic" w:cstheme="minorHAnsi"/>
          <w:sz w:val="20"/>
          <w:szCs w:val="20"/>
        </w:rPr>
        <w:t>; Qu</w:t>
      </w:r>
      <w:r w:rsidR="00FF3A49">
        <w:rPr>
          <w:rFonts w:ascii="Century Gothic" w:hAnsi="Century Gothic" w:cstheme="minorHAnsi"/>
          <w:sz w:val="20"/>
          <w:szCs w:val="20"/>
        </w:rPr>
        <w:t xml:space="preserve">itumbe; San </w:t>
      </w:r>
      <w:r w:rsidR="00FF3A49" w:rsidRPr="00FF3A49">
        <w:rPr>
          <w:rFonts w:ascii="Century Gothic" w:hAnsi="Century Gothic" w:cstheme="minorHAnsi"/>
          <w:sz w:val="20"/>
          <w:szCs w:val="20"/>
        </w:rPr>
        <w:t>Francisco Quito; y Sucre.</w:t>
      </w:r>
      <w:r w:rsidR="00FF3A49">
        <w:rPr>
          <w:rFonts w:ascii="Century Gothic" w:hAnsi="Century Gothic" w:cstheme="minorHAnsi"/>
          <w:sz w:val="20"/>
          <w:szCs w:val="20"/>
        </w:rPr>
        <w:t xml:space="preserve"> </w:t>
      </w:r>
      <w:r w:rsidR="00FF3A49" w:rsidRPr="00FF3A49">
        <w:rPr>
          <w:rFonts w:ascii="Century Gothic" w:hAnsi="Century Gothic" w:cstheme="minorHAnsi"/>
          <w:sz w:val="20"/>
          <w:szCs w:val="20"/>
          <w:lang w:val="es-EC"/>
        </w:rPr>
        <w:t>Colegios: Benalcázar y Fernández Madrid.</w:t>
      </w:r>
    </w:p>
    <w:p w14:paraId="545C1085" w14:textId="798EB9F4" w:rsidR="00210AB1" w:rsidRDefault="00B70EBE" w:rsidP="00210AB1">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 xml:space="preserve">Secretaría de </w:t>
      </w:r>
      <w:r w:rsidR="006E5070">
        <w:rPr>
          <w:rFonts w:ascii="Century Gothic" w:hAnsi="Century Gothic" w:cstheme="minorHAnsi"/>
          <w:sz w:val="20"/>
          <w:szCs w:val="20"/>
        </w:rPr>
        <w:t>Salud (</w:t>
      </w:r>
      <w:r w:rsidR="00FF3A49">
        <w:rPr>
          <w:rFonts w:ascii="Century Gothic" w:hAnsi="Century Gothic" w:cstheme="minorHAnsi"/>
          <w:sz w:val="20"/>
          <w:szCs w:val="20"/>
        </w:rPr>
        <w:t>Unidades Metropolitanas de Salud Norte, Sur, Centro, Unidad de Bienestar Animal)</w:t>
      </w:r>
    </w:p>
    <w:p w14:paraId="5469054C" w14:textId="218E330C" w:rsidR="008C0BED" w:rsidRDefault="008C0BED" w:rsidP="008C0BED">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sz w:val="20"/>
          <w:szCs w:val="20"/>
        </w:rPr>
        <w:t>Secretaria de</w:t>
      </w:r>
      <w:r w:rsidR="00FF3A49">
        <w:rPr>
          <w:rFonts w:ascii="Century Gothic" w:hAnsi="Century Gothic" w:cstheme="minorHAnsi"/>
          <w:sz w:val="20"/>
          <w:szCs w:val="20"/>
        </w:rPr>
        <w:t xml:space="preserve"> Inclusión Social, Consejo de Protección de Derechos del DMQ, Unidad Patronato Municipal San José.</w:t>
      </w:r>
    </w:p>
    <w:p w14:paraId="6D201449" w14:textId="562C5BEB" w:rsidR="008C0BED" w:rsidRDefault="008C0BED" w:rsidP="008C0BED">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General de Seguridad Ciudadana y Gestión de Riesgos.</w:t>
      </w:r>
      <w:r w:rsidR="006E5070">
        <w:rPr>
          <w:rFonts w:ascii="Century Gothic" w:hAnsi="Century Gothic" w:cstheme="minorHAnsi"/>
          <w:sz w:val="20"/>
          <w:szCs w:val="20"/>
        </w:rPr>
        <w:t xml:space="preserve"> </w:t>
      </w:r>
      <w:r w:rsidR="00FF3A49">
        <w:rPr>
          <w:rFonts w:ascii="Century Gothic" w:hAnsi="Century Gothic" w:cstheme="minorHAnsi"/>
          <w:sz w:val="20"/>
          <w:szCs w:val="20"/>
        </w:rPr>
        <w:t xml:space="preserve">Ex Secretaría </w:t>
      </w:r>
      <w:bookmarkStart w:id="9" w:name="_GoBack"/>
      <w:bookmarkEnd w:id="9"/>
      <w:r w:rsidR="00FF3A49">
        <w:rPr>
          <w:rFonts w:ascii="Century Gothic" w:hAnsi="Century Gothic" w:cstheme="minorHAnsi"/>
          <w:sz w:val="20"/>
          <w:szCs w:val="20"/>
        </w:rPr>
        <w:t>General de Seguridad y Gobernabilidad, Cuerpo de Agentes de Control Metropolitano, Cuerpo de Bomberos de Quito, EPM Seguridad.</w:t>
      </w:r>
    </w:p>
    <w:p w14:paraId="1059F840" w14:textId="747A966B" w:rsidR="003E402E" w:rsidRPr="00210AB1" w:rsidRDefault="003E402E" w:rsidP="003E402E">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6695784E" w14:textId="77777777" w:rsidR="003E402E" w:rsidRPr="00210AB1" w:rsidRDefault="003E402E" w:rsidP="003E402E">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S</w:t>
      </w:r>
      <w:r>
        <w:rPr>
          <w:rFonts w:ascii="Century Gothic" w:hAnsi="Century Gothic" w:cstheme="minorHAnsi"/>
          <w:b/>
          <w:sz w:val="20"/>
          <w:szCs w:val="20"/>
        </w:rPr>
        <w:t xml:space="preserve">istematizadoras/es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0F352600" w14:textId="77777777" w:rsidR="003E402E" w:rsidRPr="003E402E" w:rsidRDefault="003E402E" w:rsidP="003E402E">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b/>
          <w:sz w:val="20"/>
          <w:szCs w:val="20"/>
        </w:rPr>
        <w:t>Equipos técnicos de a</w:t>
      </w:r>
      <w:r w:rsidRPr="00210AB1">
        <w:rPr>
          <w:rFonts w:ascii="Century Gothic" w:hAnsi="Century Gothic" w:cstheme="minorHAnsi"/>
          <w:b/>
          <w:sz w:val="20"/>
          <w:szCs w:val="20"/>
        </w:rPr>
        <w:t>poyo</w:t>
      </w:r>
      <w:r>
        <w:rPr>
          <w:rFonts w:ascii="Century Gothic" w:hAnsi="Century Gothic" w:cstheme="minorHAnsi"/>
          <w:b/>
          <w:sz w:val="20"/>
          <w:szCs w:val="20"/>
        </w:rPr>
        <w:t xml:space="preserve">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04FF836E" w14:textId="77777777" w:rsidR="003E402E" w:rsidRPr="003E402E" w:rsidRDefault="003E402E" w:rsidP="003E402E">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b/>
          <w:sz w:val="20"/>
          <w:szCs w:val="20"/>
        </w:rPr>
        <w:lastRenderedPageBreak/>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5961B3A1" w14:textId="77777777" w:rsidR="003E402E" w:rsidRPr="009C7B08" w:rsidRDefault="003E402E" w:rsidP="003E402E">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35196F00" w14:textId="77777777" w:rsidR="009C7B08" w:rsidRPr="00210AB1" w:rsidRDefault="009C7B08" w:rsidP="009C7B08">
      <w:pPr>
        <w:pStyle w:val="Prrafodelista"/>
        <w:spacing w:line="276" w:lineRule="auto"/>
        <w:jc w:val="both"/>
        <w:rPr>
          <w:rFonts w:ascii="Century Gothic" w:hAnsi="Century Gothic" w:cstheme="minorHAnsi"/>
          <w:sz w:val="20"/>
          <w:szCs w:val="20"/>
        </w:rPr>
      </w:pPr>
    </w:p>
    <w:p w14:paraId="4B0E4F2E" w14:textId="7F0083FB" w:rsidR="00EF0432" w:rsidRDefault="00EF0432" w:rsidP="005F7723">
      <w:pPr>
        <w:spacing w:line="276" w:lineRule="auto"/>
        <w:jc w:val="both"/>
        <w:rPr>
          <w:rFonts w:ascii="Century Gothic" w:hAnsi="Century Gothic" w:cstheme="minorHAnsi"/>
          <w:b/>
          <w:sz w:val="20"/>
          <w:szCs w:val="20"/>
        </w:rPr>
      </w:pPr>
    </w:p>
    <w:p w14:paraId="3AD387C7" w14:textId="57538E48" w:rsidR="00EF0432" w:rsidRDefault="00EF0432" w:rsidP="005F7723">
      <w:pPr>
        <w:spacing w:line="276" w:lineRule="auto"/>
        <w:jc w:val="both"/>
        <w:rPr>
          <w:rFonts w:ascii="Century Gothic" w:hAnsi="Century Gothic" w:cstheme="minorHAnsi"/>
          <w:b/>
          <w:sz w:val="20"/>
          <w:szCs w:val="20"/>
        </w:rPr>
      </w:pPr>
    </w:p>
    <w:p w14:paraId="70986AB9" w14:textId="1A1658A9" w:rsidR="00ED71A7" w:rsidRDefault="009C7B08" w:rsidP="00ED71A7">
      <w:pPr>
        <w:pStyle w:val="Ttulo2"/>
        <w:ind w:left="142" w:hanging="142"/>
      </w:pPr>
      <w:bookmarkStart w:id="10" w:name="_Toc165565937"/>
      <w:r>
        <w:t>5.4</w:t>
      </w:r>
      <w:r w:rsidR="00ED71A7">
        <w:t xml:space="preserve"> FUNCIONES DEL EQUIPO</w:t>
      </w:r>
      <w:bookmarkEnd w:id="10"/>
    </w:p>
    <w:p w14:paraId="0DDE5C5B" w14:textId="2689D3EB" w:rsidR="00ED71A7" w:rsidRDefault="00ED71A7" w:rsidP="00ED71A7"/>
    <w:p w14:paraId="0DA46614" w14:textId="77777777" w:rsidR="00ED71A7" w:rsidRPr="00F83234" w:rsidRDefault="00ED71A7" w:rsidP="00ED71A7">
      <w:pPr>
        <w:spacing w:line="276" w:lineRule="auto"/>
        <w:jc w:val="both"/>
        <w:rPr>
          <w:rFonts w:ascii="Century Gothic" w:hAnsi="Century Gothic" w:cstheme="minorHAnsi"/>
          <w:b/>
          <w:sz w:val="20"/>
          <w:szCs w:val="20"/>
        </w:rPr>
      </w:pPr>
      <w:r w:rsidRPr="00F83234">
        <w:rPr>
          <w:rFonts w:ascii="Century Gothic" w:hAnsi="Century Gothic" w:cstheme="minorHAnsi"/>
          <w:b/>
          <w:sz w:val="20"/>
          <w:szCs w:val="20"/>
        </w:rPr>
        <w:t>El personal de apoyo de la Secretaria General de Coordinación Territorial, Gobernabilidad y Participación cumplirá las siguientes funciones:</w:t>
      </w:r>
    </w:p>
    <w:p w14:paraId="76ECBF51" w14:textId="77777777" w:rsidR="00ED71A7" w:rsidRPr="00CF43F6" w:rsidRDefault="00ED71A7" w:rsidP="00F83234">
      <w:pPr>
        <w:spacing w:line="276" w:lineRule="auto"/>
        <w:jc w:val="both"/>
        <w:rPr>
          <w:rFonts w:ascii="Century Gothic" w:hAnsi="Century Gothic" w:cstheme="minorHAnsi"/>
          <w:sz w:val="20"/>
          <w:szCs w:val="20"/>
        </w:rPr>
      </w:pPr>
    </w:p>
    <w:p w14:paraId="73746D26" w14:textId="5D231900" w:rsidR="00ED71A7" w:rsidRPr="00F83234" w:rsidRDefault="007D255E"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Registro de asistencia de la ciudadanía.</w:t>
      </w:r>
      <w:r w:rsidR="00ED71A7" w:rsidRPr="00F83234">
        <w:rPr>
          <w:rFonts w:ascii="Century Gothic" w:hAnsi="Century Gothic" w:cstheme="minorHAnsi"/>
          <w:sz w:val="20"/>
          <w:szCs w:val="20"/>
        </w:rPr>
        <w:t xml:space="preserve"> </w:t>
      </w:r>
    </w:p>
    <w:p w14:paraId="2682EE64" w14:textId="34453CC8" w:rsidR="007D255E" w:rsidRPr="00F83234" w:rsidRDefault="007D255E"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Acompañar a los ciudadanos a cada mesa de trabajo.</w:t>
      </w:r>
    </w:p>
    <w:p w14:paraId="548C4C34" w14:textId="37B22DE8" w:rsidR="00ED71A7" w:rsidRPr="00F83234"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Facilitar la reflexión y deliberación en las mesas de trabajo</w:t>
      </w:r>
      <w:r w:rsidR="007D255E" w:rsidRPr="00F83234">
        <w:rPr>
          <w:rFonts w:ascii="Century Gothic" w:hAnsi="Century Gothic" w:cstheme="minorHAnsi"/>
          <w:sz w:val="20"/>
          <w:szCs w:val="20"/>
        </w:rPr>
        <w:t>.</w:t>
      </w:r>
    </w:p>
    <w:p w14:paraId="25545B68" w14:textId="5F398B63" w:rsidR="00ED71A7" w:rsidRPr="00F83234" w:rsidRDefault="00ED71A7"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Constatación de las entidades que forman parte de cada mesa</w:t>
      </w:r>
      <w:r w:rsidR="007D255E" w:rsidRPr="00F83234">
        <w:rPr>
          <w:rFonts w:ascii="Century Gothic" w:hAnsi="Century Gothic" w:cstheme="minorHAnsi"/>
          <w:sz w:val="20"/>
          <w:szCs w:val="20"/>
        </w:rPr>
        <w:t>.</w:t>
      </w:r>
    </w:p>
    <w:p w14:paraId="743440D1" w14:textId="2DB14E1E" w:rsidR="00ED71A7" w:rsidRPr="00F83234" w:rsidRDefault="00ED71A7"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Control del tiempo</w:t>
      </w:r>
      <w:r w:rsidR="003E402E">
        <w:rPr>
          <w:rFonts w:ascii="Century Gothic" w:hAnsi="Century Gothic" w:cstheme="minorHAnsi"/>
          <w:sz w:val="20"/>
          <w:szCs w:val="20"/>
        </w:rPr>
        <w:t xml:space="preserve"> de las mesas de trabajo y de las intervenciones (60 minutos).</w:t>
      </w:r>
    </w:p>
    <w:p w14:paraId="13A7817F" w14:textId="24139922" w:rsidR="00ED71A7" w:rsidRPr="00F83234"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Recoger el registro de cada mesa de trabajo para la elaboración del A</w:t>
      </w:r>
      <w:r w:rsidR="00ED71A7" w:rsidRPr="00F83234">
        <w:rPr>
          <w:rFonts w:ascii="Century Gothic" w:hAnsi="Century Gothic" w:cstheme="minorHAnsi"/>
          <w:sz w:val="20"/>
          <w:szCs w:val="20"/>
        </w:rPr>
        <w:t xml:space="preserve">cta </w:t>
      </w:r>
      <w:r>
        <w:rPr>
          <w:rFonts w:ascii="Century Gothic" w:hAnsi="Century Gothic" w:cstheme="minorHAnsi"/>
          <w:sz w:val="20"/>
          <w:szCs w:val="20"/>
        </w:rPr>
        <w:t>del evento de deliberación.</w:t>
      </w:r>
    </w:p>
    <w:p w14:paraId="6DCB341E" w14:textId="130574B0" w:rsidR="007742AA" w:rsidRDefault="003E402E" w:rsidP="007742AA">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Garantizar la centralización de los registros de asistencia, las sistematizaciones de cada mesa y el Acta de</w:t>
      </w:r>
      <w:r w:rsidR="007742AA">
        <w:rPr>
          <w:rFonts w:ascii="Century Gothic" w:hAnsi="Century Gothic" w:cstheme="minorHAnsi"/>
          <w:sz w:val="20"/>
          <w:szCs w:val="20"/>
        </w:rPr>
        <w:t xml:space="preserve"> la</w:t>
      </w:r>
      <w:r>
        <w:rPr>
          <w:rFonts w:ascii="Century Gothic" w:hAnsi="Century Gothic" w:cstheme="minorHAnsi"/>
          <w:sz w:val="20"/>
          <w:szCs w:val="20"/>
        </w:rPr>
        <w:t xml:space="preserve"> deliberación.</w:t>
      </w:r>
      <w:r w:rsidR="007742AA" w:rsidRPr="007742AA">
        <w:rPr>
          <w:rFonts w:ascii="Century Gothic" w:hAnsi="Century Gothic" w:cstheme="minorHAnsi"/>
          <w:sz w:val="20"/>
          <w:szCs w:val="20"/>
        </w:rPr>
        <w:t xml:space="preserve"> </w:t>
      </w:r>
    </w:p>
    <w:p w14:paraId="1C1FAA73" w14:textId="29286761" w:rsidR="00ED71A7" w:rsidRPr="007742AA" w:rsidRDefault="007742AA" w:rsidP="007742AA">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Elaborar el Acta para la suscripción del Alcalde y de las/os delegadas/os de la Asamblea de Quito.</w:t>
      </w:r>
    </w:p>
    <w:p w14:paraId="14E530FF" w14:textId="2BAFE78B" w:rsidR="00F83234" w:rsidRDefault="00F83234" w:rsidP="00F83234">
      <w:pPr>
        <w:spacing w:line="276" w:lineRule="auto"/>
        <w:rPr>
          <w:rFonts w:ascii="Century Gothic" w:hAnsi="Century Gothic" w:cstheme="minorHAnsi"/>
          <w:sz w:val="20"/>
          <w:szCs w:val="20"/>
        </w:rPr>
      </w:pPr>
    </w:p>
    <w:p w14:paraId="16528FE6" w14:textId="057F88EA" w:rsidR="002C4C09" w:rsidRDefault="002C4C09" w:rsidP="00F83234">
      <w:pPr>
        <w:spacing w:line="276" w:lineRule="auto"/>
        <w:rPr>
          <w:rFonts w:ascii="Century Gothic" w:hAnsi="Century Gothic" w:cstheme="minorHAnsi"/>
          <w:b/>
          <w:sz w:val="20"/>
          <w:szCs w:val="20"/>
        </w:rPr>
      </w:pPr>
      <w:r w:rsidRPr="002C4C09">
        <w:rPr>
          <w:rFonts w:ascii="Century Gothic" w:hAnsi="Century Gothic" w:cstheme="minorHAnsi"/>
          <w:b/>
          <w:sz w:val="20"/>
          <w:szCs w:val="20"/>
        </w:rPr>
        <w:t>El personal de apoyo de las Secretarias y entidades de cada sector (por eje de desarrollo) cumplirá las siguientes funciones:</w:t>
      </w:r>
    </w:p>
    <w:p w14:paraId="08B42F69" w14:textId="77777777" w:rsidR="008469F4" w:rsidRPr="002C4C09" w:rsidRDefault="008469F4" w:rsidP="00F83234">
      <w:pPr>
        <w:spacing w:line="276" w:lineRule="auto"/>
        <w:rPr>
          <w:rFonts w:ascii="Century Gothic" w:hAnsi="Century Gothic" w:cstheme="minorHAnsi"/>
          <w:b/>
          <w:sz w:val="20"/>
          <w:szCs w:val="20"/>
        </w:rPr>
      </w:pPr>
    </w:p>
    <w:p w14:paraId="364CBE30" w14:textId="77777777" w:rsidR="008E7EBC" w:rsidRPr="007742AA" w:rsidRDefault="008E7EBC" w:rsidP="008E7EBC">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Verificar que toda</w:t>
      </w:r>
      <w:r w:rsidRPr="00F83234">
        <w:rPr>
          <w:rFonts w:ascii="Century Gothic" w:hAnsi="Century Gothic" w:cstheme="minorHAnsi"/>
          <w:sz w:val="20"/>
          <w:szCs w:val="20"/>
        </w:rPr>
        <w:t>s</w:t>
      </w:r>
      <w:r>
        <w:rPr>
          <w:rFonts w:ascii="Century Gothic" w:hAnsi="Century Gothic" w:cstheme="minorHAnsi"/>
          <w:sz w:val="20"/>
          <w:szCs w:val="20"/>
        </w:rPr>
        <w:t xml:space="preserve"> las personas </w:t>
      </w:r>
      <w:r w:rsidRPr="00F83234">
        <w:rPr>
          <w:rFonts w:ascii="Century Gothic" w:hAnsi="Century Gothic" w:cstheme="minorHAnsi"/>
          <w:sz w:val="20"/>
          <w:szCs w:val="20"/>
        </w:rPr>
        <w:t>participantes se reg</w:t>
      </w:r>
      <w:r>
        <w:rPr>
          <w:rFonts w:ascii="Century Gothic" w:hAnsi="Century Gothic" w:cstheme="minorHAnsi"/>
          <w:sz w:val="20"/>
          <w:szCs w:val="20"/>
        </w:rPr>
        <w:t>istren en la hoja de asistencia por mesa.</w:t>
      </w:r>
    </w:p>
    <w:p w14:paraId="43010C16" w14:textId="3C4744DB"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Acompañar a las autoridades y colaborar en absolver inquietudes de la ciudadanía.</w:t>
      </w:r>
    </w:p>
    <w:p w14:paraId="15296878" w14:textId="257E2865"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Canalizar y ordenar las opiniones y aportes de la ciudadanía para que correspondan a los sectores, políticas y temas del eje de desarrollo correspondiente.</w:t>
      </w:r>
    </w:p>
    <w:p w14:paraId="59096A97" w14:textId="54CC80CC"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Sistematizar los aportes y r</w:t>
      </w:r>
      <w:r w:rsidR="007742AA">
        <w:rPr>
          <w:rFonts w:ascii="Century Gothic" w:hAnsi="Century Gothic" w:cstheme="minorHAnsi"/>
          <w:sz w:val="20"/>
          <w:szCs w:val="20"/>
        </w:rPr>
        <w:t>ecomendaciones de la ciudadanía en los formatos preestablecidos para cada mesa.</w:t>
      </w:r>
    </w:p>
    <w:p w14:paraId="40E9027E" w14:textId="7215ED41" w:rsidR="007742AA" w:rsidRDefault="002C4C09" w:rsidP="007742AA">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Entregar a los delegados de la SGCTGYP la sistematización</w:t>
      </w:r>
      <w:r w:rsidR="007742AA">
        <w:rPr>
          <w:rFonts w:ascii="Century Gothic" w:hAnsi="Century Gothic" w:cstheme="minorHAnsi"/>
          <w:sz w:val="20"/>
          <w:szCs w:val="20"/>
        </w:rPr>
        <w:t xml:space="preserve"> con las respectivas firmas de respaldo.</w:t>
      </w:r>
    </w:p>
    <w:p w14:paraId="2665512D" w14:textId="77777777" w:rsidR="002C4C09" w:rsidRPr="00CF43F6" w:rsidRDefault="002C4C09" w:rsidP="00F83234">
      <w:pPr>
        <w:spacing w:line="276" w:lineRule="auto"/>
        <w:rPr>
          <w:rFonts w:ascii="Century Gothic" w:hAnsi="Century Gothic" w:cstheme="minorHAnsi"/>
          <w:sz w:val="20"/>
          <w:szCs w:val="20"/>
        </w:rPr>
      </w:pPr>
    </w:p>
    <w:p w14:paraId="5F50EBCC" w14:textId="09F37ACD" w:rsidR="00F83234" w:rsidRDefault="00F83234" w:rsidP="00F83234">
      <w:pPr>
        <w:pStyle w:val="Prrafodelista"/>
        <w:spacing w:line="276" w:lineRule="auto"/>
        <w:ind w:left="284"/>
        <w:jc w:val="both"/>
        <w:rPr>
          <w:rFonts w:ascii="Century Gothic" w:hAnsi="Century Gothic" w:cstheme="minorHAnsi"/>
          <w:b/>
          <w:sz w:val="20"/>
          <w:szCs w:val="20"/>
        </w:rPr>
      </w:pPr>
      <w:r w:rsidRPr="00F83234">
        <w:rPr>
          <w:rFonts w:ascii="Century Gothic" w:hAnsi="Century Gothic" w:cstheme="minorHAnsi"/>
          <w:b/>
          <w:sz w:val="20"/>
          <w:szCs w:val="20"/>
        </w:rPr>
        <w:t>El personal de apoyo de la Secretaría de Comunicación cumplirá las siguientes funciones:</w:t>
      </w:r>
    </w:p>
    <w:p w14:paraId="5CBAC763" w14:textId="77777777" w:rsidR="00F83234" w:rsidRPr="00F83234" w:rsidRDefault="00F83234" w:rsidP="00F83234">
      <w:pPr>
        <w:pStyle w:val="Prrafodelista"/>
        <w:spacing w:line="276" w:lineRule="auto"/>
        <w:ind w:left="284"/>
        <w:jc w:val="both"/>
        <w:rPr>
          <w:rFonts w:ascii="Century Gothic" w:hAnsi="Century Gothic" w:cstheme="minorHAnsi"/>
          <w:b/>
          <w:sz w:val="20"/>
          <w:szCs w:val="20"/>
        </w:rPr>
      </w:pPr>
    </w:p>
    <w:p w14:paraId="51482C30" w14:textId="46CE057A" w:rsidR="00F83234" w:rsidRPr="00CF43F6" w:rsidRDefault="00F83234" w:rsidP="00F83234">
      <w:pPr>
        <w:pStyle w:val="Prrafodelista"/>
        <w:numPr>
          <w:ilvl w:val="0"/>
          <w:numId w:val="1"/>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Transmisión en vivo</w:t>
      </w:r>
      <w:r w:rsidR="008E7EBC">
        <w:rPr>
          <w:rFonts w:ascii="Century Gothic" w:hAnsi="Century Gothic" w:cstheme="minorHAnsi"/>
          <w:sz w:val="20"/>
          <w:szCs w:val="20"/>
        </w:rPr>
        <w:t xml:space="preserve"> de todo el evento de deliberación pública.</w:t>
      </w:r>
    </w:p>
    <w:p w14:paraId="58D4082D" w14:textId="3AB0B3A3" w:rsidR="00F83234" w:rsidRDefault="00F83234" w:rsidP="00F83234">
      <w:pPr>
        <w:pStyle w:val="Prrafodelista"/>
        <w:numPr>
          <w:ilvl w:val="0"/>
          <w:numId w:val="1"/>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Cobertura mesas de trabajo</w:t>
      </w:r>
      <w:r>
        <w:rPr>
          <w:rFonts w:ascii="Century Gothic" w:hAnsi="Century Gothic" w:cstheme="minorHAnsi"/>
          <w:sz w:val="20"/>
          <w:szCs w:val="20"/>
        </w:rPr>
        <w:t>.</w:t>
      </w:r>
    </w:p>
    <w:p w14:paraId="074619FA" w14:textId="2D254126" w:rsidR="003C1F6A" w:rsidRPr="008E7EBC" w:rsidRDefault="00173D1D" w:rsidP="005F7723">
      <w:pPr>
        <w:pStyle w:val="Prrafodelista"/>
        <w:numPr>
          <w:ilvl w:val="0"/>
          <w:numId w:val="1"/>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Grabar todo el acto de deliberación para </w:t>
      </w:r>
      <w:r w:rsidR="002C4C09">
        <w:rPr>
          <w:rFonts w:ascii="Century Gothic" w:hAnsi="Century Gothic" w:cstheme="minorHAnsi"/>
          <w:sz w:val="20"/>
          <w:szCs w:val="20"/>
        </w:rPr>
        <w:t xml:space="preserve">su </w:t>
      </w:r>
      <w:r>
        <w:rPr>
          <w:rFonts w:ascii="Century Gothic" w:hAnsi="Century Gothic" w:cstheme="minorHAnsi"/>
          <w:sz w:val="20"/>
          <w:szCs w:val="20"/>
        </w:rPr>
        <w:t>posterior difusión.</w:t>
      </w:r>
    </w:p>
    <w:tbl>
      <w:tblPr>
        <w:tblStyle w:val="3"/>
        <w:tblW w:w="9815" w:type="dxa"/>
        <w:jc w:val="center"/>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3221"/>
        <w:gridCol w:w="3384"/>
        <w:gridCol w:w="3210"/>
      </w:tblGrid>
      <w:tr w:rsidR="000B0168" w:rsidRPr="00E17BDF" w14:paraId="5778C037" w14:textId="77777777" w:rsidTr="008E7EBC">
        <w:trPr>
          <w:trHeight w:val="207"/>
          <w:jc w:val="center"/>
        </w:trPr>
        <w:tc>
          <w:tcPr>
            <w:tcW w:w="9815" w:type="dxa"/>
            <w:gridSpan w:val="3"/>
            <w:shd w:val="clear" w:color="auto" w:fill="0F243E"/>
          </w:tcPr>
          <w:p w14:paraId="42E1474A" w14:textId="77777777" w:rsidR="000B0168" w:rsidRPr="00E17BDF" w:rsidRDefault="000B0168" w:rsidP="00393A4A">
            <w:pPr>
              <w:jc w:val="center"/>
              <w:rPr>
                <w:rFonts w:ascii="Century Gothic" w:eastAsia="Century Gothic" w:hAnsi="Century Gothic" w:cs="Century Gothic"/>
                <w:b/>
                <w:color w:val="FFFFFF"/>
                <w:sz w:val="20"/>
                <w:szCs w:val="20"/>
              </w:rPr>
            </w:pPr>
            <w:r w:rsidRPr="00E17BDF">
              <w:rPr>
                <w:rFonts w:ascii="Century Gothic" w:eastAsia="Century Gothic" w:hAnsi="Century Gothic" w:cs="Century Gothic"/>
                <w:b/>
                <w:color w:val="FFFFFF"/>
                <w:sz w:val="20"/>
                <w:szCs w:val="20"/>
              </w:rPr>
              <w:t>APROBACIÓN</w:t>
            </w:r>
          </w:p>
        </w:tc>
      </w:tr>
      <w:tr w:rsidR="000B0168" w:rsidRPr="00E17BDF" w14:paraId="422746EC" w14:textId="77777777" w:rsidTr="008E7EBC">
        <w:trPr>
          <w:trHeight w:val="511"/>
          <w:jc w:val="center"/>
        </w:trPr>
        <w:tc>
          <w:tcPr>
            <w:tcW w:w="3221" w:type="dxa"/>
          </w:tcPr>
          <w:p w14:paraId="4E72F21E"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Elaborado por:</w:t>
            </w:r>
          </w:p>
          <w:p w14:paraId="2ABF5792" w14:textId="77777777" w:rsidR="000B0168" w:rsidRPr="00E17BDF" w:rsidRDefault="000B0168" w:rsidP="00393A4A">
            <w:pPr>
              <w:jc w:val="center"/>
              <w:rPr>
                <w:rFonts w:ascii="Century Gothic" w:eastAsia="Century Gothic" w:hAnsi="Century Gothic" w:cs="Century Gothic"/>
                <w:b/>
                <w:color w:val="auto"/>
                <w:sz w:val="20"/>
                <w:szCs w:val="20"/>
              </w:rPr>
            </w:pPr>
          </w:p>
          <w:p w14:paraId="098F3A62" w14:textId="77777777" w:rsidR="000B0168" w:rsidRPr="00E17BDF" w:rsidRDefault="000B0168" w:rsidP="00393A4A">
            <w:pPr>
              <w:jc w:val="center"/>
              <w:rPr>
                <w:rFonts w:ascii="Century Gothic" w:eastAsia="Century Gothic" w:hAnsi="Century Gothic" w:cs="Century Gothic"/>
                <w:b/>
                <w:color w:val="auto"/>
                <w:sz w:val="20"/>
                <w:szCs w:val="20"/>
              </w:rPr>
            </w:pPr>
          </w:p>
          <w:p w14:paraId="56BF79DF" w14:textId="77777777" w:rsidR="000B0168" w:rsidRPr="00E17BDF" w:rsidRDefault="000B0168" w:rsidP="00393A4A">
            <w:pPr>
              <w:rPr>
                <w:rFonts w:ascii="Century Gothic" w:eastAsia="Century Gothic" w:hAnsi="Century Gothic" w:cs="Century Gothic"/>
                <w:b/>
                <w:color w:val="auto"/>
                <w:sz w:val="20"/>
                <w:szCs w:val="20"/>
              </w:rPr>
            </w:pPr>
          </w:p>
          <w:p w14:paraId="0AB349AA"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Elda Rosales</w:t>
            </w:r>
          </w:p>
          <w:p w14:paraId="1B1DB695" w14:textId="58C1E784"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Asistente de Participación Ciudadana</w:t>
            </w:r>
          </w:p>
        </w:tc>
        <w:tc>
          <w:tcPr>
            <w:tcW w:w="3384" w:type="dxa"/>
          </w:tcPr>
          <w:p w14:paraId="5DF231F7"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lastRenderedPageBreak/>
              <w:t>Revisado por:</w:t>
            </w:r>
          </w:p>
          <w:p w14:paraId="2F73C7A5" w14:textId="77777777" w:rsidR="000B0168" w:rsidRPr="00E17BDF" w:rsidRDefault="000B0168" w:rsidP="00393A4A">
            <w:pPr>
              <w:jc w:val="center"/>
              <w:rPr>
                <w:rFonts w:ascii="Century Gothic" w:eastAsia="Century Gothic" w:hAnsi="Century Gothic" w:cs="Century Gothic"/>
                <w:b/>
                <w:color w:val="auto"/>
                <w:sz w:val="20"/>
                <w:szCs w:val="20"/>
              </w:rPr>
            </w:pPr>
          </w:p>
          <w:p w14:paraId="07BEC289" w14:textId="77777777" w:rsidR="000B0168" w:rsidRPr="00E17BDF" w:rsidRDefault="000B0168" w:rsidP="00393A4A">
            <w:pPr>
              <w:rPr>
                <w:rFonts w:ascii="Century Gothic" w:eastAsia="Century Gothic" w:hAnsi="Century Gothic" w:cs="Century Gothic"/>
                <w:b/>
                <w:color w:val="auto"/>
                <w:sz w:val="20"/>
                <w:szCs w:val="20"/>
              </w:rPr>
            </w:pPr>
          </w:p>
          <w:p w14:paraId="3C39C116" w14:textId="77777777" w:rsidR="000B0168" w:rsidRPr="00E17BDF" w:rsidRDefault="000B0168" w:rsidP="00393A4A">
            <w:pPr>
              <w:jc w:val="center"/>
              <w:rPr>
                <w:rFonts w:ascii="Century Gothic" w:eastAsia="Century Gothic" w:hAnsi="Century Gothic" w:cs="Century Gothic"/>
                <w:b/>
                <w:color w:val="auto"/>
                <w:sz w:val="20"/>
                <w:szCs w:val="20"/>
              </w:rPr>
            </w:pPr>
          </w:p>
          <w:p w14:paraId="0EB12F21"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Gabriela Bucheli</w:t>
            </w:r>
          </w:p>
          <w:p w14:paraId="3E69B910"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Coordinadora de Participación Ciudadana</w:t>
            </w:r>
          </w:p>
        </w:tc>
        <w:tc>
          <w:tcPr>
            <w:tcW w:w="3210" w:type="dxa"/>
          </w:tcPr>
          <w:p w14:paraId="78ED7DDD"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lastRenderedPageBreak/>
              <w:t>Aprobado por:</w:t>
            </w:r>
          </w:p>
          <w:p w14:paraId="4A028C6F" w14:textId="77777777" w:rsidR="000B0168" w:rsidRPr="00E17BDF" w:rsidRDefault="000B0168" w:rsidP="00393A4A">
            <w:pPr>
              <w:jc w:val="center"/>
              <w:rPr>
                <w:rFonts w:ascii="Century Gothic" w:eastAsia="Century Gothic" w:hAnsi="Century Gothic" w:cs="Century Gothic"/>
                <w:b/>
                <w:color w:val="auto"/>
                <w:sz w:val="20"/>
                <w:szCs w:val="20"/>
              </w:rPr>
            </w:pPr>
          </w:p>
          <w:p w14:paraId="5ED24F9F" w14:textId="77777777" w:rsidR="000B0168" w:rsidRPr="00E17BDF" w:rsidRDefault="000B0168" w:rsidP="00393A4A">
            <w:pPr>
              <w:rPr>
                <w:rFonts w:ascii="Century Gothic" w:eastAsia="Century Gothic" w:hAnsi="Century Gothic" w:cs="Century Gothic"/>
                <w:b/>
                <w:color w:val="auto"/>
                <w:sz w:val="20"/>
                <w:szCs w:val="20"/>
              </w:rPr>
            </w:pPr>
          </w:p>
          <w:p w14:paraId="454563AC" w14:textId="77777777" w:rsidR="000B0168" w:rsidRPr="00E17BDF" w:rsidRDefault="000B0168" w:rsidP="00393A4A">
            <w:pPr>
              <w:rPr>
                <w:rFonts w:ascii="Century Gothic" w:eastAsia="Century Gothic" w:hAnsi="Century Gothic" w:cs="Century Gothic"/>
                <w:b/>
                <w:color w:val="auto"/>
                <w:sz w:val="20"/>
                <w:szCs w:val="20"/>
              </w:rPr>
            </w:pPr>
          </w:p>
          <w:p w14:paraId="120DA051" w14:textId="750E448A" w:rsidR="000B0168" w:rsidRPr="00E17BDF" w:rsidRDefault="00CB3B50" w:rsidP="00393A4A">
            <w:pPr>
              <w:jc w:val="center"/>
              <w:rPr>
                <w:rFonts w:ascii="Century Gothic" w:eastAsia="Century Gothic" w:hAnsi="Century Gothic" w:cs="Century Gothic"/>
                <w:b/>
                <w:color w:val="auto"/>
                <w:sz w:val="20"/>
                <w:szCs w:val="20"/>
              </w:rPr>
            </w:pPr>
            <w:r>
              <w:rPr>
                <w:rFonts w:ascii="Century Gothic" w:eastAsia="Century Gothic" w:hAnsi="Century Gothic" w:cs="Century Gothic"/>
                <w:b/>
                <w:color w:val="auto"/>
                <w:sz w:val="20"/>
                <w:szCs w:val="20"/>
              </w:rPr>
              <w:t>Lenin Aldaz</w:t>
            </w:r>
          </w:p>
          <w:p w14:paraId="2FCC0D4E" w14:textId="4845A3F9"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Director Metropolitano de Participación Ciudadana</w:t>
            </w:r>
            <w:r w:rsidR="00CB3B50">
              <w:rPr>
                <w:rFonts w:ascii="Century Gothic" w:eastAsia="Century Gothic" w:hAnsi="Century Gothic" w:cs="Century Gothic"/>
                <w:b/>
                <w:color w:val="auto"/>
                <w:sz w:val="20"/>
                <w:szCs w:val="20"/>
              </w:rPr>
              <w:t xml:space="preserve"> (E)</w:t>
            </w:r>
          </w:p>
        </w:tc>
      </w:tr>
    </w:tbl>
    <w:p w14:paraId="1E4F8A2D" w14:textId="3D539AB8" w:rsidR="00072CE5" w:rsidRPr="00F873B7" w:rsidRDefault="00072CE5" w:rsidP="00F873B7">
      <w:pPr>
        <w:spacing w:line="276" w:lineRule="auto"/>
        <w:rPr>
          <w:rFonts w:ascii="Century Gothic" w:hAnsi="Century Gothic" w:cstheme="minorHAnsi"/>
          <w:sz w:val="20"/>
          <w:szCs w:val="20"/>
        </w:rPr>
      </w:pPr>
    </w:p>
    <w:sectPr w:rsidR="00072CE5" w:rsidRPr="00F873B7" w:rsidSect="00911D02">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B3B2" w14:textId="77777777" w:rsidR="00030A87" w:rsidRDefault="00030A87" w:rsidP="00911D02">
      <w:r>
        <w:separator/>
      </w:r>
    </w:p>
  </w:endnote>
  <w:endnote w:type="continuationSeparator" w:id="0">
    <w:p w14:paraId="7CFCC314" w14:textId="77777777" w:rsidR="00030A87" w:rsidRDefault="00030A87" w:rsidP="0091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A1E0" w14:textId="77777777" w:rsidR="00030A87" w:rsidRDefault="00030A87" w:rsidP="00911D02">
      <w:r>
        <w:separator/>
      </w:r>
    </w:p>
  </w:footnote>
  <w:footnote w:type="continuationSeparator" w:id="0">
    <w:p w14:paraId="3C0D9BFE" w14:textId="77777777" w:rsidR="00030A87" w:rsidRDefault="00030A87" w:rsidP="00911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EA9B" w14:textId="7E5D7EAD" w:rsidR="00F071BC" w:rsidRDefault="00F071BC">
    <w:pPr>
      <w:pStyle w:val="Encabezado"/>
    </w:pPr>
    <w:r>
      <w:rPr>
        <w:noProof/>
        <w:lang w:eastAsia="es-EC"/>
      </w:rPr>
      <w:drawing>
        <wp:anchor distT="0" distB="0" distL="114300" distR="114300" simplePos="0" relativeHeight="251658240" behindDoc="1" locked="0" layoutInCell="1" allowOverlap="1" wp14:anchorId="3FD9F32C" wp14:editId="5113C445">
          <wp:simplePos x="0" y="0"/>
          <wp:positionH relativeFrom="column">
            <wp:posOffset>-1143702</wp:posOffset>
          </wp:positionH>
          <wp:positionV relativeFrom="paragraph">
            <wp:posOffset>-529757</wp:posOffset>
          </wp:positionV>
          <wp:extent cx="7604281" cy="1074821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4281" cy="10748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36"/>
    <w:multiLevelType w:val="hybridMultilevel"/>
    <w:tmpl w:val="A11C5A88"/>
    <w:lvl w:ilvl="0" w:tplc="C8724402">
      <w:start w:val="4"/>
      <w:numFmt w:val="bullet"/>
      <w:lvlText w:val="-"/>
      <w:lvlJc w:val="left"/>
      <w:pPr>
        <w:ind w:left="720" w:hanging="360"/>
      </w:pPr>
      <w:rPr>
        <w:rFonts w:ascii="Calibri" w:eastAsiaTheme="minorHAnsi" w:hAnsi="Calibri" w:cstheme="minorBidi" w:hint="default"/>
      </w:rPr>
    </w:lvl>
    <w:lvl w:ilvl="1" w:tplc="30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41EDE"/>
    <w:multiLevelType w:val="multilevel"/>
    <w:tmpl w:val="9606FA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850E3"/>
    <w:multiLevelType w:val="hybridMultilevel"/>
    <w:tmpl w:val="74FEB68A"/>
    <w:lvl w:ilvl="0" w:tplc="C8724402">
      <w:start w:val="4"/>
      <w:numFmt w:val="bullet"/>
      <w:lvlText w:val="-"/>
      <w:lvlJc w:val="left"/>
      <w:pPr>
        <w:ind w:left="720" w:hanging="360"/>
      </w:pPr>
      <w:rPr>
        <w:rFonts w:ascii="Calibri" w:eastAsiaTheme="minorHAnsi" w:hAnsi="Calibri" w:cstheme="minorBidi" w:hint="default"/>
      </w:rPr>
    </w:lvl>
    <w:lvl w:ilvl="1" w:tplc="30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1C0903"/>
    <w:multiLevelType w:val="hybridMultilevel"/>
    <w:tmpl w:val="BF4075C8"/>
    <w:lvl w:ilvl="0" w:tplc="EAD2FC3E">
      <w:start w:val="1"/>
      <w:numFmt w:val="bullet"/>
      <w:lvlText w:val=""/>
      <w:lvlJc w:val="left"/>
      <w:pPr>
        <w:tabs>
          <w:tab w:val="num" w:pos="720"/>
        </w:tabs>
        <w:ind w:left="720" w:hanging="360"/>
      </w:pPr>
      <w:rPr>
        <w:rFonts w:ascii="Symbol" w:hAnsi="Symbol" w:hint="default"/>
      </w:rPr>
    </w:lvl>
    <w:lvl w:ilvl="1" w:tplc="6374F680" w:tentative="1">
      <w:start w:val="1"/>
      <w:numFmt w:val="bullet"/>
      <w:lvlText w:val=""/>
      <w:lvlJc w:val="left"/>
      <w:pPr>
        <w:tabs>
          <w:tab w:val="num" w:pos="1440"/>
        </w:tabs>
        <w:ind w:left="1440" w:hanging="360"/>
      </w:pPr>
      <w:rPr>
        <w:rFonts w:ascii="Symbol" w:hAnsi="Symbol" w:hint="default"/>
      </w:rPr>
    </w:lvl>
    <w:lvl w:ilvl="2" w:tplc="15548276" w:tentative="1">
      <w:start w:val="1"/>
      <w:numFmt w:val="bullet"/>
      <w:lvlText w:val=""/>
      <w:lvlJc w:val="left"/>
      <w:pPr>
        <w:tabs>
          <w:tab w:val="num" w:pos="2160"/>
        </w:tabs>
        <w:ind w:left="2160" w:hanging="360"/>
      </w:pPr>
      <w:rPr>
        <w:rFonts w:ascii="Symbol" w:hAnsi="Symbol" w:hint="default"/>
      </w:rPr>
    </w:lvl>
    <w:lvl w:ilvl="3" w:tplc="7B6A1A4A" w:tentative="1">
      <w:start w:val="1"/>
      <w:numFmt w:val="bullet"/>
      <w:lvlText w:val=""/>
      <w:lvlJc w:val="left"/>
      <w:pPr>
        <w:tabs>
          <w:tab w:val="num" w:pos="2880"/>
        </w:tabs>
        <w:ind w:left="2880" w:hanging="360"/>
      </w:pPr>
      <w:rPr>
        <w:rFonts w:ascii="Symbol" w:hAnsi="Symbol" w:hint="default"/>
      </w:rPr>
    </w:lvl>
    <w:lvl w:ilvl="4" w:tplc="CC6E35C6" w:tentative="1">
      <w:start w:val="1"/>
      <w:numFmt w:val="bullet"/>
      <w:lvlText w:val=""/>
      <w:lvlJc w:val="left"/>
      <w:pPr>
        <w:tabs>
          <w:tab w:val="num" w:pos="3600"/>
        </w:tabs>
        <w:ind w:left="3600" w:hanging="360"/>
      </w:pPr>
      <w:rPr>
        <w:rFonts w:ascii="Symbol" w:hAnsi="Symbol" w:hint="default"/>
      </w:rPr>
    </w:lvl>
    <w:lvl w:ilvl="5" w:tplc="5A060ABA" w:tentative="1">
      <w:start w:val="1"/>
      <w:numFmt w:val="bullet"/>
      <w:lvlText w:val=""/>
      <w:lvlJc w:val="left"/>
      <w:pPr>
        <w:tabs>
          <w:tab w:val="num" w:pos="4320"/>
        </w:tabs>
        <w:ind w:left="4320" w:hanging="360"/>
      </w:pPr>
      <w:rPr>
        <w:rFonts w:ascii="Symbol" w:hAnsi="Symbol" w:hint="default"/>
      </w:rPr>
    </w:lvl>
    <w:lvl w:ilvl="6" w:tplc="E578C6F2" w:tentative="1">
      <w:start w:val="1"/>
      <w:numFmt w:val="bullet"/>
      <w:lvlText w:val=""/>
      <w:lvlJc w:val="left"/>
      <w:pPr>
        <w:tabs>
          <w:tab w:val="num" w:pos="5040"/>
        </w:tabs>
        <w:ind w:left="5040" w:hanging="360"/>
      </w:pPr>
      <w:rPr>
        <w:rFonts w:ascii="Symbol" w:hAnsi="Symbol" w:hint="default"/>
      </w:rPr>
    </w:lvl>
    <w:lvl w:ilvl="7" w:tplc="B0BE1298" w:tentative="1">
      <w:start w:val="1"/>
      <w:numFmt w:val="bullet"/>
      <w:lvlText w:val=""/>
      <w:lvlJc w:val="left"/>
      <w:pPr>
        <w:tabs>
          <w:tab w:val="num" w:pos="5760"/>
        </w:tabs>
        <w:ind w:left="5760" w:hanging="360"/>
      </w:pPr>
      <w:rPr>
        <w:rFonts w:ascii="Symbol" w:hAnsi="Symbol" w:hint="default"/>
      </w:rPr>
    </w:lvl>
    <w:lvl w:ilvl="8" w:tplc="BEEE22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5B5F29"/>
    <w:multiLevelType w:val="hybridMultilevel"/>
    <w:tmpl w:val="00E6C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A1E2958"/>
    <w:multiLevelType w:val="hybridMultilevel"/>
    <w:tmpl w:val="EB0A7884"/>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B216B10"/>
    <w:multiLevelType w:val="hybridMultilevel"/>
    <w:tmpl w:val="332A523C"/>
    <w:lvl w:ilvl="0" w:tplc="42843600">
      <w:start w:val="1"/>
      <w:numFmt w:val="bullet"/>
      <w:lvlText w:val="•"/>
      <w:lvlJc w:val="left"/>
      <w:pPr>
        <w:tabs>
          <w:tab w:val="num" w:pos="720"/>
        </w:tabs>
        <w:ind w:left="720" w:hanging="360"/>
      </w:pPr>
      <w:rPr>
        <w:rFonts w:ascii="Arial" w:hAnsi="Arial" w:hint="default"/>
      </w:rPr>
    </w:lvl>
    <w:lvl w:ilvl="1" w:tplc="2E6E9B00" w:tentative="1">
      <w:start w:val="1"/>
      <w:numFmt w:val="bullet"/>
      <w:lvlText w:val="•"/>
      <w:lvlJc w:val="left"/>
      <w:pPr>
        <w:tabs>
          <w:tab w:val="num" w:pos="1440"/>
        </w:tabs>
        <w:ind w:left="1440" w:hanging="360"/>
      </w:pPr>
      <w:rPr>
        <w:rFonts w:ascii="Arial" w:hAnsi="Arial" w:hint="default"/>
      </w:rPr>
    </w:lvl>
    <w:lvl w:ilvl="2" w:tplc="B5BED240" w:tentative="1">
      <w:start w:val="1"/>
      <w:numFmt w:val="bullet"/>
      <w:lvlText w:val="•"/>
      <w:lvlJc w:val="left"/>
      <w:pPr>
        <w:tabs>
          <w:tab w:val="num" w:pos="2160"/>
        </w:tabs>
        <w:ind w:left="2160" w:hanging="360"/>
      </w:pPr>
      <w:rPr>
        <w:rFonts w:ascii="Arial" w:hAnsi="Arial" w:hint="default"/>
      </w:rPr>
    </w:lvl>
    <w:lvl w:ilvl="3" w:tplc="75FCC60A" w:tentative="1">
      <w:start w:val="1"/>
      <w:numFmt w:val="bullet"/>
      <w:lvlText w:val="•"/>
      <w:lvlJc w:val="left"/>
      <w:pPr>
        <w:tabs>
          <w:tab w:val="num" w:pos="2880"/>
        </w:tabs>
        <w:ind w:left="2880" w:hanging="360"/>
      </w:pPr>
      <w:rPr>
        <w:rFonts w:ascii="Arial" w:hAnsi="Arial" w:hint="default"/>
      </w:rPr>
    </w:lvl>
    <w:lvl w:ilvl="4" w:tplc="1B74A5C0" w:tentative="1">
      <w:start w:val="1"/>
      <w:numFmt w:val="bullet"/>
      <w:lvlText w:val="•"/>
      <w:lvlJc w:val="left"/>
      <w:pPr>
        <w:tabs>
          <w:tab w:val="num" w:pos="3600"/>
        </w:tabs>
        <w:ind w:left="3600" w:hanging="360"/>
      </w:pPr>
      <w:rPr>
        <w:rFonts w:ascii="Arial" w:hAnsi="Arial" w:hint="default"/>
      </w:rPr>
    </w:lvl>
    <w:lvl w:ilvl="5" w:tplc="5A82ACC8" w:tentative="1">
      <w:start w:val="1"/>
      <w:numFmt w:val="bullet"/>
      <w:lvlText w:val="•"/>
      <w:lvlJc w:val="left"/>
      <w:pPr>
        <w:tabs>
          <w:tab w:val="num" w:pos="4320"/>
        </w:tabs>
        <w:ind w:left="4320" w:hanging="360"/>
      </w:pPr>
      <w:rPr>
        <w:rFonts w:ascii="Arial" w:hAnsi="Arial" w:hint="default"/>
      </w:rPr>
    </w:lvl>
    <w:lvl w:ilvl="6" w:tplc="F8A2F8E8" w:tentative="1">
      <w:start w:val="1"/>
      <w:numFmt w:val="bullet"/>
      <w:lvlText w:val="•"/>
      <w:lvlJc w:val="left"/>
      <w:pPr>
        <w:tabs>
          <w:tab w:val="num" w:pos="5040"/>
        </w:tabs>
        <w:ind w:left="5040" w:hanging="360"/>
      </w:pPr>
      <w:rPr>
        <w:rFonts w:ascii="Arial" w:hAnsi="Arial" w:hint="default"/>
      </w:rPr>
    </w:lvl>
    <w:lvl w:ilvl="7" w:tplc="86D62498" w:tentative="1">
      <w:start w:val="1"/>
      <w:numFmt w:val="bullet"/>
      <w:lvlText w:val="•"/>
      <w:lvlJc w:val="left"/>
      <w:pPr>
        <w:tabs>
          <w:tab w:val="num" w:pos="5760"/>
        </w:tabs>
        <w:ind w:left="5760" w:hanging="360"/>
      </w:pPr>
      <w:rPr>
        <w:rFonts w:ascii="Arial" w:hAnsi="Arial" w:hint="default"/>
      </w:rPr>
    </w:lvl>
    <w:lvl w:ilvl="8" w:tplc="2E1C4D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378BB"/>
    <w:multiLevelType w:val="hybridMultilevel"/>
    <w:tmpl w:val="34343CF2"/>
    <w:lvl w:ilvl="0" w:tplc="4DB0D6E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F376CC"/>
    <w:multiLevelType w:val="hybridMultilevel"/>
    <w:tmpl w:val="A4A4A14A"/>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FA91B44"/>
    <w:multiLevelType w:val="hybridMultilevel"/>
    <w:tmpl w:val="4EA44D34"/>
    <w:lvl w:ilvl="0" w:tplc="25185E02">
      <w:start w:val="1"/>
      <w:numFmt w:val="bullet"/>
      <w:lvlText w:val="•"/>
      <w:lvlJc w:val="left"/>
      <w:pPr>
        <w:tabs>
          <w:tab w:val="num" w:pos="720"/>
        </w:tabs>
        <w:ind w:left="720" w:hanging="360"/>
      </w:pPr>
      <w:rPr>
        <w:rFonts w:ascii="Arial" w:hAnsi="Arial" w:hint="default"/>
      </w:rPr>
    </w:lvl>
    <w:lvl w:ilvl="1" w:tplc="EB607DD6" w:tentative="1">
      <w:start w:val="1"/>
      <w:numFmt w:val="bullet"/>
      <w:lvlText w:val="•"/>
      <w:lvlJc w:val="left"/>
      <w:pPr>
        <w:tabs>
          <w:tab w:val="num" w:pos="1440"/>
        </w:tabs>
        <w:ind w:left="1440" w:hanging="360"/>
      </w:pPr>
      <w:rPr>
        <w:rFonts w:ascii="Arial" w:hAnsi="Arial" w:hint="default"/>
      </w:rPr>
    </w:lvl>
    <w:lvl w:ilvl="2" w:tplc="DCD68402" w:tentative="1">
      <w:start w:val="1"/>
      <w:numFmt w:val="bullet"/>
      <w:lvlText w:val="•"/>
      <w:lvlJc w:val="left"/>
      <w:pPr>
        <w:tabs>
          <w:tab w:val="num" w:pos="2160"/>
        </w:tabs>
        <w:ind w:left="2160" w:hanging="360"/>
      </w:pPr>
      <w:rPr>
        <w:rFonts w:ascii="Arial" w:hAnsi="Arial" w:hint="default"/>
      </w:rPr>
    </w:lvl>
    <w:lvl w:ilvl="3" w:tplc="D52C8976" w:tentative="1">
      <w:start w:val="1"/>
      <w:numFmt w:val="bullet"/>
      <w:lvlText w:val="•"/>
      <w:lvlJc w:val="left"/>
      <w:pPr>
        <w:tabs>
          <w:tab w:val="num" w:pos="2880"/>
        </w:tabs>
        <w:ind w:left="2880" w:hanging="360"/>
      </w:pPr>
      <w:rPr>
        <w:rFonts w:ascii="Arial" w:hAnsi="Arial" w:hint="default"/>
      </w:rPr>
    </w:lvl>
    <w:lvl w:ilvl="4" w:tplc="1A00C714" w:tentative="1">
      <w:start w:val="1"/>
      <w:numFmt w:val="bullet"/>
      <w:lvlText w:val="•"/>
      <w:lvlJc w:val="left"/>
      <w:pPr>
        <w:tabs>
          <w:tab w:val="num" w:pos="3600"/>
        </w:tabs>
        <w:ind w:left="3600" w:hanging="360"/>
      </w:pPr>
      <w:rPr>
        <w:rFonts w:ascii="Arial" w:hAnsi="Arial" w:hint="default"/>
      </w:rPr>
    </w:lvl>
    <w:lvl w:ilvl="5" w:tplc="C4E28B56" w:tentative="1">
      <w:start w:val="1"/>
      <w:numFmt w:val="bullet"/>
      <w:lvlText w:val="•"/>
      <w:lvlJc w:val="left"/>
      <w:pPr>
        <w:tabs>
          <w:tab w:val="num" w:pos="4320"/>
        </w:tabs>
        <w:ind w:left="4320" w:hanging="360"/>
      </w:pPr>
      <w:rPr>
        <w:rFonts w:ascii="Arial" w:hAnsi="Arial" w:hint="default"/>
      </w:rPr>
    </w:lvl>
    <w:lvl w:ilvl="6" w:tplc="C8306A5A" w:tentative="1">
      <w:start w:val="1"/>
      <w:numFmt w:val="bullet"/>
      <w:lvlText w:val="•"/>
      <w:lvlJc w:val="left"/>
      <w:pPr>
        <w:tabs>
          <w:tab w:val="num" w:pos="5040"/>
        </w:tabs>
        <w:ind w:left="5040" w:hanging="360"/>
      </w:pPr>
      <w:rPr>
        <w:rFonts w:ascii="Arial" w:hAnsi="Arial" w:hint="default"/>
      </w:rPr>
    </w:lvl>
    <w:lvl w:ilvl="7" w:tplc="740EC734" w:tentative="1">
      <w:start w:val="1"/>
      <w:numFmt w:val="bullet"/>
      <w:lvlText w:val="•"/>
      <w:lvlJc w:val="left"/>
      <w:pPr>
        <w:tabs>
          <w:tab w:val="num" w:pos="5760"/>
        </w:tabs>
        <w:ind w:left="5760" w:hanging="360"/>
      </w:pPr>
      <w:rPr>
        <w:rFonts w:ascii="Arial" w:hAnsi="Arial" w:hint="default"/>
      </w:rPr>
    </w:lvl>
    <w:lvl w:ilvl="8" w:tplc="B2B0B8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E759EE"/>
    <w:multiLevelType w:val="hybridMultilevel"/>
    <w:tmpl w:val="7444D508"/>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8183C99"/>
    <w:multiLevelType w:val="hybridMultilevel"/>
    <w:tmpl w:val="08481532"/>
    <w:lvl w:ilvl="0" w:tplc="09A0AF1A">
      <w:start w:val="1"/>
      <w:numFmt w:val="bullet"/>
      <w:lvlText w:val="•"/>
      <w:lvlJc w:val="left"/>
      <w:pPr>
        <w:tabs>
          <w:tab w:val="num" w:pos="720"/>
        </w:tabs>
        <w:ind w:left="720" w:hanging="360"/>
      </w:pPr>
      <w:rPr>
        <w:rFonts w:ascii="Arial" w:hAnsi="Arial" w:hint="default"/>
      </w:rPr>
    </w:lvl>
    <w:lvl w:ilvl="1" w:tplc="F90E2EB2">
      <w:start w:val="1"/>
      <w:numFmt w:val="bullet"/>
      <w:lvlText w:val="•"/>
      <w:lvlJc w:val="left"/>
      <w:pPr>
        <w:tabs>
          <w:tab w:val="num" w:pos="1440"/>
        </w:tabs>
        <w:ind w:left="1440" w:hanging="360"/>
      </w:pPr>
      <w:rPr>
        <w:rFonts w:ascii="Arial" w:hAnsi="Arial" w:hint="default"/>
      </w:rPr>
    </w:lvl>
    <w:lvl w:ilvl="2" w:tplc="F0F21DDC" w:tentative="1">
      <w:start w:val="1"/>
      <w:numFmt w:val="bullet"/>
      <w:lvlText w:val="•"/>
      <w:lvlJc w:val="left"/>
      <w:pPr>
        <w:tabs>
          <w:tab w:val="num" w:pos="2160"/>
        </w:tabs>
        <w:ind w:left="2160" w:hanging="360"/>
      </w:pPr>
      <w:rPr>
        <w:rFonts w:ascii="Arial" w:hAnsi="Arial" w:hint="default"/>
      </w:rPr>
    </w:lvl>
    <w:lvl w:ilvl="3" w:tplc="C630BC3C" w:tentative="1">
      <w:start w:val="1"/>
      <w:numFmt w:val="bullet"/>
      <w:lvlText w:val="•"/>
      <w:lvlJc w:val="left"/>
      <w:pPr>
        <w:tabs>
          <w:tab w:val="num" w:pos="2880"/>
        </w:tabs>
        <w:ind w:left="2880" w:hanging="360"/>
      </w:pPr>
      <w:rPr>
        <w:rFonts w:ascii="Arial" w:hAnsi="Arial" w:hint="default"/>
      </w:rPr>
    </w:lvl>
    <w:lvl w:ilvl="4" w:tplc="D7CAE734" w:tentative="1">
      <w:start w:val="1"/>
      <w:numFmt w:val="bullet"/>
      <w:lvlText w:val="•"/>
      <w:lvlJc w:val="left"/>
      <w:pPr>
        <w:tabs>
          <w:tab w:val="num" w:pos="3600"/>
        </w:tabs>
        <w:ind w:left="3600" w:hanging="360"/>
      </w:pPr>
      <w:rPr>
        <w:rFonts w:ascii="Arial" w:hAnsi="Arial" w:hint="default"/>
      </w:rPr>
    </w:lvl>
    <w:lvl w:ilvl="5" w:tplc="405A47AE" w:tentative="1">
      <w:start w:val="1"/>
      <w:numFmt w:val="bullet"/>
      <w:lvlText w:val="•"/>
      <w:lvlJc w:val="left"/>
      <w:pPr>
        <w:tabs>
          <w:tab w:val="num" w:pos="4320"/>
        </w:tabs>
        <w:ind w:left="4320" w:hanging="360"/>
      </w:pPr>
      <w:rPr>
        <w:rFonts w:ascii="Arial" w:hAnsi="Arial" w:hint="default"/>
      </w:rPr>
    </w:lvl>
    <w:lvl w:ilvl="6" w:tplc="59D4A542" w:tentative="1">
      <w:start w:val="1"/>
      <w:numFmt w:val="bullet"/>
      <w:lvlText w:val="•"/>
      <w:lvlJc w:val="left"/>
      <w:pPr>
        <w:tabs>
          <w:tab w:val="num" w:pos="5040"/>
        </w:tabs>
        <w:ind w:left="5040" w:hanging="360"/>
      </w:pPr>
      <w:rPr>
        <w:rFonts w:ascii="Arial" w:hAnsi="Arial" w:hint="default"/>
      </w:rPr>
    </w:lvl>
    <w:lvl w:ilvl="7" w:tplc="77B85258" w:tentative="1">
      <w:start w:val="1"/>
      <w:numFmt w:val="bullet"/>
      <w:lvlText w:val="•"/>
      <w:lvlJc w:val="left"/>
      <w:pPr>
        <w:tabs>
          <w:tab w:val="num" w:pos="5760"/>
        </w:tabs>
        <w:ind w:left="5760" w:hanging="360"/>
      </w:pPr>
      <w:rPr>
        <w:rFonts w:ascii="Arial" w:hAnsi="Arial" w:hint="default"/>
      </w:rPr>
    </w:lvl>
    <w:lvl w:ilvl="8" w:tplc="58FC31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6D2232"/>
    <w:multiLevelType w:val="hybridMultilevel"/>
    <w:tmpl w:val="29D8BC6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26F644E"/>
    <w:multiLevelType w:val="hybridMultilevel"/>
    <w:tmpl w:val="67C0B6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3084DA0"/>
    <w:multiLevelType w:val="hybridMultilevel"/>
    <w:tmpl w:val="FA1CAC50"/>
    <w:lvl w:ilvl="0" w:tplc="300A0003">
      <w:start w:val="1"/>
      <w:numFmt w:val="bullet"/>
      <w:lvlText w:val="o"/>
      <w:lvlJc w:val="left"/>
      <w:pPr>
        <w:ind w:left="720" w:hanging="360"/>
      </w:pPr>
      <w:rPr>
        <w:rFonts w:ascii="Courier New" w:hAnsi="Courier New" w:cs="Courier New"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4AC4C47"/>
    <w:multiLevelType w:val="hybridMultilevel"/>
    <w:tmpl w:val="A014B6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C3A0175"/>
    <w:multiLevelType w:val="hybridMultilevel"/>
    <w:tmpl w:val="0792B824"/>
    <w:lvl w:ilvl="0" w:tplc="C872440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4945B7"/>
    <w:multiLevelType w:val="hybridMultilevel"/>
    <w:tmpl w:val="C27241A8"/>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3727B86"/>
    <w:multiLevelType w:val="hybridMultilevel"/>
    <w:tmpl w:val="3E884F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57F3ED9"/>
    <w:multiLevelType w:val="hybridMultilevel"/>
    <w:tmpl w:val="BA84145E"/>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59C0B5E"/>
    <w:multiLevelType w:val="hybridMultilevel"/>
    <w:tmpl w:val="AC56F02C"/>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14A2B1E"/>
    <w:multiLevelType w:val="hybridMultilevel"/>
    <w:tmpl w:val="A5F8B382"/>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36605CA"/>
    <w:multiLevelType w:val="hybridMultilevel"/>
    <w:tmpl w:val="D24ADCC4"/>
    <w:lvl w:ilvl="0" w:tplc="943A03F2">
      <w:start w:val="1"/>
      <w:numFmt w:val="upperRoman"/>
      <w:lvlText w:val="%1."/>
      <w:lvlJc w:val="left"/>
      <w:pPr>
        <w:ind w:left="1080" w:hanging="720"/>
      </w:pPr>
      <w:rPr>
        <w:rFonts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BDA59E0"/>
    <w:multiLevelType w:val="hybridMultilevel"/>
    <w:tmpl w:val="6F628280"/>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2901A9"/>
    <w:multiLevelType w:val="hybridMultilevel"/>
    <w:tmpl w:val="793449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16B66AE"/>
    <w:multiLevelType w:val="hybridMultilevel"/>
    <w:tmpl w:val="DB841270"/>
    <w:lvl w:ilvl="0" w:tplc="B11C21B2">
      <w:start w:val="1"/>
      <w:numFmt w:val="bullet"/>
      <w:lvlText w:val=""/>
      <w:lvlJc w:val="left"/>
      <w:pPr>
        <w:tabs>
          <w:tab w:val="num" w:pos="720"/>
        </w:tabs>
        <w:ind w:left="720" w:hanging="360"/>
      </w:pPr>
      <w:rPr>
        <w:rFonts w:ascii="Symbol" w:hAnsi="Symbol" w:hint="default"/>
      </w:rPr>
    </w:lvl>
    <w:lvl w:ilvl="1" w:tplc="1E0E7FE0" w:tentative="1">
      <w:start w:val="1"/>
      <w:numFmt w:val="bullet"/>
      <w:lvlText w:val=""/>
      <w:lvlJc w:val="left"/>
      <w:pPr>
        <w:tabs>
          <w:tab w:val="num" w:pos="1440"/>
        </w:tabs>
        <w:ind w:left="1440" w:hanging="360"/>
      </w:pPr>
      <w:rPr>
        <w:rFonts w:ascii="Symbol" w:hAnsi="Symbol" w:hint="default"/>
      </w:rPr>
    </w:lvl>
    <w:lvl w:ilvl="2" w:tplc="298AF3BA" w:tentative="1">
      <w:start w:val="1"/>
      <w:numFmt w:val="bullet"/>
      <w:lvlText w:val=""/>
      <w:lvlJc w:val="left"/>
      <w:pPr>
        <w:tabs>
          <w:tab w:val="num" w:pos="2160"/>
        </w:tabs>
        <w:ind w:left="2160" w:hanging="360"/>
      </w:pPr>
      <w:rPr>
        <w:rFonts w:ascii="Symbol" w:hAnsi="Symbol" w:hint="default"/>
      </w:rPr>
    </w:lvl>
    <w:lvl w:ilvl="3" w:tplc="C9D0BA98" w:tentative="1">
      <w:start w:val="1"/>
      <w:numFmt w:val="bullet"/>
      <w:lvlText w:val=""/>
      <w:lvlJc w:val="left"/>
      <w:pPr>
        <w:tabs>
          <w:tab w:val="num" w:pos="2880"/>
        </w:tabs>
        <w:ind w:left="2880" w:hanging="360"/>
      </w:pPr>
      <w:rPr>
        <w:rFonts w:ascii="Symbol" w:hAnsi="Symbol" w:hint="default"/>
      </w:rPr>
    </w:lvl>
    <w:lvl w:ilvl="4" w:tplc="F49EE4D0" w:tentative="1">
      <w:start w:val="1"/>
      <w:numFmt w:val="bullet"/>
      <w:lvlText w:val=""/>
      <w:lvlJc w:val="left"/>
      <w:pPr>
        <w:tabs>
          <w:tab w:val="num" w:pos="3600"/>
        </w:tabs>
        <w:ind w:left="3600" w:hanging="360"/>
      </w:pPr>
      <w:rPr>
        <w:rFonts w:ascii="Symbol" w:hAnsi="Symbol" w:hint="default"/>
      </w:rPr>
    </w:lvl>
    <w:lvl w:ilvl="5" w:tplc="8C9CDBCE" w:tentative="1">
      <w:start w:val="1"/>
      <w:numFmt w:val="bullet"/>
      <w:lvlText w:val=""/>
      <w:lvlJc w:val="left"/>
      <w:pPr>
        <w:tabs>
          <w:tab w:val="num" w:pos="4320"/>
        </w:tabs>
        <w:ind w:left="4320" w:hanging="360"/>
      </w:pPr>
      <w:rPr>
        <w:rFonts w:ascii="Symbol" w:hAnsi="Symbol" w:hint="default"/>
      </w:rPr>
    </w:lvl>
    <w:lvl w:ilvl="6" w:tplc="FC0AA94A" w:tentative="1">
      <w:start w:val="1"/>
      <w:numFmt w:val="bullet"/>
      <w:lvlText w:val=""/>
      <w:lvlJc w:val="left"/>
      <w:pPr>
        <w:tabs>
          <w:tab w:val="num" w:pos="5040"/>
        </w:tabs>
        <w:ind w:left="5040" w:hanging="360"/>
      </w:pPr>
      <w:rPr>
        <w:rFonts w:ascii="Symbol" w:hAnsi="Symbol" w:hint="default"/>
      </w:rPr>
    </w:lvl>
    <w:lvl w:ilvl="7" w:tplc="F3EE9F5E" w:tentative="1">
      <w:start w:val="1"/>
      <w:numFmt w:val="bullet"/>
      <w:lvlText w:val=""/>
      <w:lvlJc w:val="left"/>
      <w:pPr>
        <w:tabs>
          <w:tab w:val="num" w:pos="5760"/>
        </w:tabs>
        <w:ind w:left="5760" w:hanging="360"/>
      </w:pPr>
      <w:rPr>
        <w:rFonts w:ascii="Symbol" w:hAnsi="Symbol" w:hint="default"/>
      </w:rPr>
    </w:lvl>
    <w:lvl w:ilvl="8" w:tplc="4BF43E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4A353E9"/>
    <w:multiLevelType w:val="hybridMultilevel"/>
    <w:tmpl w:val="E5627C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4C159A9"/>
    <w:multiLevelType w:val="multilevel"/>
    <w:tmpl w:val="4CB08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895965"/>
    <w:multiLevelType w:val="hybridMultilevel"/>
    <w:tmpl w:val="98903B42"/>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26"/>
  </w:num>
  <w:num w:numId="5">
    <w:abstractNumId w:val="7"/>
  </w:num>
  <w:num w:numId="6">
    <w:abstractNumId w:val="16"/>
  </w:num>
  <w:num w:numId="7">
    <w:abstractNumId w:val="14"/>
  </w:num>
  <w:num w:numId="8">
    <w:abstractNumId w:val="27"/>
  </w:num>
  <w:num w:numId="9">
    <w:abstractNumId w:val="4"/>
  </w:num>
  <w:num w:numId="10">
    <w:abstractNumId w:val="1"/>
  </w:num>
  <w:num w:numId="11">
    <w:abstractNumId w:val="19"/>
  </w:num>
  <w:num w:numId="12">
    <w:abstractNumId w:val="9"/>
  </w:num>
  <w:num w:numId="13">
    <w:abstractNumId w:val="6"/>
  </w:num>
  <w:num w:numId="14">
    <w:abstractNumId w:val="25"/>
  </w:num>
  <w:num w:numId="15">
    <w:abstractNumId w:val="3"/>
  </w:num>
  <w:num w:numId="16">
    <w:abstractNumId w:val="5"/>
  </w:num>
  <w:num w:numId="17">
    <w:abstractNumId w:val="18"/>
  </w:num>
  <w:num w:numId="18">
    <w:abstractNumId w:val="12"/>
  </w:num>
  <w:num w:numId="19">
    <w:abstractNumId w:val="22"/>
  </w:num>
  <w:num w:numId="20">
    <w:abstractNumId w:val="21"/>
  </w:num>
  <w:num w:numId="21">
    <w:abstractNumId w:val="10"/>
  </w:num>
  <w:num w:numId="22">
    <w:abstractNumId w:val="8"/>
  </w:num>
  <w:num w:numId="23">
    <w:abstractNumId w:val="23"/>
  </w:num>
  <w:num w:numId="24">
    <w:abstractNumId w:val="28"/>
  </w:num>
  <w:num w:numId="25">
    <w:abstractNumId w:val="17"/>
  </w:num>
  <w:num w:numId="26">
    <w:abstractNumId w:val="13"/>
  </w:num>
  <w:num w:numId="27">
    <w:abstractNumId w:val="24"/>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02"/>
    <w:rsid w:val="00030A87"/>
    <w:rsid w:val="00070D8C"/>
    <w:rsid w:val="00072CE5"/>
    <w:rsid w:val="000A20C4"/>
    <w:rsid w:val="000B0168"/>
    <w:rsid w:val="000C0847"/>
    <w:rsid w:val="001152D7"/>
    <w:rsid w:val="00120AB7"/>
    <w:rsid w:val="00173D1D"/>
    <w:rsid w:val="00175755"/>
    <w:rsid w:val="001A3D61"/>
    <w:rsid w:val="001E11D8"/>
    <w:rsid w:val="001F38A1"/>
    <w:rsid w:val="0020689A"/>
    <w:rsid w:val="00210AB1"/>
    <w:rsid w:val="00221CDA"/>
    <w:rsid w:val="00235E95"/>
    <w:rsid w:val="00237984"/>
    <w:rsid w:val="002533D5"/>
    <w:rsid w:val="002620D1"/>
    <w:rsid w:val="00290017"/>
    <w:rsid w:val="002A19AD"/>
    <w:rsid w:val="002C4C09"/>
    <w:rsid w:val="002C51F4"/>
    <w:rsid w:val="002D1F11"/>
    <w:rsid w:val="002E1421"/>
    <w:rsid w:val="002E2278"/>
    <w:rsid w:val="0031394B"/>
    <w:rsid w:val="00342304"/>
    <w:rsid w:val="00350A6A"/>
    <w:rsid w:val="00354D4B"/>
    <w:rsid w:val="00393A4A"/>
    <w:rsid w:val="003A248F"/>
    <w:rsid w:val="003C1F6A"/>
    <w:rsid w:val="003C6BA1"/>
    <w:rsid w:val="003C789A"/>
    <w:rsid w:val="003E379D"/>
    <w:rsid w:val="003E402E"/>
    <w:rsid w:val="003F154A"/>
    <w:rsid w:val="00405033"/>
    <w:rsid w:val="0042783B"/>
    <w:rsid w:val="00430932"/>
    <w:rsid w:val="00434CA7"/>
    <w:rsid w:val="004539CC"/>
    <w:rsid w:val="00471A0A"/>
    <w:rsid w:val="00472BBF"/>
    <w:rsid w:val="0047414C"/>
    <w:rsid w:val="00484736"/>
    <w:rsid w:val="004935C2"/>
    <w:rsid w:val="004E0456"/>
    <w:rsid w:val="005043B0"/>
    <w:rsid w:val="00513707"/>
    <w:rsid w:val="00515B53"/>
    <w:rsid w:val="005171E6"/>
    <w:rsid w:val="00517A14"/>
    <w:rsid w:val="00530DC7"/>
    <w:rsid w:val="00547BD1"/>
    <w:rsid w:val="0055627A"/>
    <w:rsid w:val="00576E8C"/>
    <w:rsid w:val="00580C03"/>
    <w:rsid w:val="0058768E"/>
    <w:rsid w:val="005A09DD"/>
    <w:rsid w:val="005A1095"/>
    <w:rsid w:val="005B3095"/>
    <w:rsid w:val="005B6A58"/>
    <w:rsid w:val="005B6DB2"/>
    <w:rsid w:val="005C5952"/>
    <w:rsid w:val="005F7723"/>
    <w:rsid w:val="006067DA"/>
    <w:rsid w:val="006103DE"/>
    <w:rsid w:val="00614F69"/>
    <w:rsid w:val="0063706E"/>
    <w:rsid w:val="00642419"/>
    <w:rsid w:val="00674576"/>
    <w:rsid w:val="00674D61"/>
    <w:rsid w:val="006977C5"/>
    <w:rsid w:val="006A5F06"/>
    <w:rsid w:val="006B1C18"/>
    <w:rsid w:val="006B36A7"/>
    <w:rsid w:val="006C3D51"/>
    <w:rsid w:val="006E0A53"/>
    <w:rsid w:val="006E20B8"/>
    <w:rsid w:val="006E5070"/>
    <w:rsid w:val="00721BEA"/>
    <w:rsid w:val="00723239"/>
    <w:rsid w:val="007262AA"/>
    <w:rsid w:val="007275AF"/>
    <w:rsid w:val="00735F36"/>
    <w:rsid w:val="00772572"/>
    <w:rsid w:val="007742AA"/>
    <w:rsid w:val="00796BEB"/>
    <w:rsid w:val="007977BC"/>
    <w:rsid w:val="007B50C7"/>
    <w:rsid w:val="007B6975"/>
    <w:rsid w:val="007B7315"/>
    <w:rsid w:val="007D255E"/>
    <w:rsid w:val="007E1BEF"/>
    <w:rsid w:val="007F180F"/>
    <w:rsid w:val="007F7A82"/>
    <w:rsid w:val="00810F7D"/>
    <w:rsid w:val="008155A5"/>
    <w:rsid w:val="0083194C"/>
    <w:rsid w:val="00836170"/>
    <w:rsid w:val="008469F4"/>
    <w:rsid w:val="00847D66"/>
    <w:rsid w:val="00857917"/>
    <w:rsid w:val="0086685D"/>
    <w:rsid w:val="008673AD"/>
    <w:rsid w:val="008842F5"/>
    <w:rsid w:val="0089700E"/>
    <w:rsid w:val="008A2D77"/>
    <w:rsid w:val="008A7429"/>
    <w:rsid w:val="008C0BED"/>
    <w:rsid w:val="008C4CD2"/>
    <w:rsid w:val="008E7EBC"/>
    <w:rsid w:val="008F24E4"/>
    <w:rsid w:val="0090177F"/>
    <w:rsid w:val="00904E7F"/>
    <w:rsid w:val="00911523"/>
    <w:rsid w:val="00911D02"/>
    <w:rsid w:val="00915E52"/>
    <w:rsid w:val="00921260"/>
    <w:rsid w:val="009212F2"/>
    <w:rsid w:val="00922B4B"/>
    <w:rsid w:val="00937CBC"/>
    <w:rsid w:val="00943EA9"/>
    <w:rsid w:val="00945806"/>
    <w:rsid w:val="009A01E1"/>
    <w:rsid w:val="009A55DC"/>
    <w:rsid w:val="009A5D2C"/>
    <w:rsid w:val="009C7B08"/>
    <w:rsid w:val="009E0526"/>
    <w:rsid w:val="009E24C1"/>
    <w:rsid w:val="009F03A2"/>
    <w:rsid w:val="00A20206"/>
    <w:rsid w:val="00A257D6"/>
    <w:rsid w:val="00A60150"/>
    <w:rsid w:val="00A95C74"/>
    <w:rsid w:val="00AA7525"/>
    <w:rsid w:val="00AA78AB"/>
    <w:rsid w:val="00AB2547"/>
    <w:rsid w:val="00AD093D"/>
    <w:rsid w:val="00AD1241"/>
    <w:rsid w:val="00AE689E"/>
    <w:rsid w:val="00AF7650"/>
    <w:rsid w:val="00B13C72"/>
    <w:rsid w:val="00B2318A"/>
    <w:rsid w:val="00B70EBE"/>
    <w:rsid w:val="00B952E8"/>
    <w:rsid w:val="00BA17D0"/>
    <w:rsid w:val="00BB06D7"/>
    <w:rsid w:val="00BD4AB7"/>
    <w:rsid w:val="00BE048D"/>
    <w:rsid w:val="00BE670C"/>
    <w:rsid w:val="00C02F97"/>
    <w:rsid w:val="00C35EDF"/>
    <w:rsid w:val="00C46CD9"/>
    <w:rsid w:val="00C57889"/>
    <w:rsid w:val="00CA1A7E"/>
    <w:rsid w:val="00CB2E8D"/>
    <w:rsid w:val="00CB3B50"/>
    <w:rsid w:val="00CD2DE8"/>
    <w:rsid w:val="00CD6268"/>
    <w:rsid w:val="00CD7659"/>
    <w:rsid w:val="00CF43F6"/>
    <w:rsid w:val="00D24AB5"/>
    <w:rsid w:val="00D25EE6"/>
    <w:rsid w:val="00D41641"/>
    <w:rsid w:val="00D52A70"/>
    <w:rsid w:val="00D54BFD"/>
    <w:rsid w:val="00D563B4"/>
    <w:rsid w:val="00D67058"/>
    <w:rsid w:val="00D862C4"/>
    <w:rsid w:val="00D97B88"/>
    <w:rsid w:val="00DA02EC"/>
    <w:rsid w:val="00DA3FF0"/>
    <w:rsid w:val="00DA7AEB"/>
    <w:rsid w:val="00DB6147"/>
    <w:rsid w:val="00DC5570"/>
    <w:rsid w:val="00DD123A"/>
    <w:rsid w:val="00DD28A8"/>
    <w:rsid w:val="00DF4F15"/>
    <w:rsid w:val="00E166D2"/>
    <w:rsid w:val="00E40B20"/>
    <w:rsid w:val="00E418D1"/>
    <w:rsid w:val="00E435AB"/>
    <w:rsid w:val="00E477D0"/>
    <w:rsid w:val="00E52776"/>
    <w:rsid w:val="00E62300"/>
    <w:rsid w:val="00E70F30"/>
    <w:rsid w:val="00E77B14"/>
    <w:rsid w:val="00E87702"/>
    <w:rsid w:val="00EA4D44"/>
    <w:rsid w:val="00EC5BF6"/>
    <w:rsid w:val="00ED5E5D"/>
    <w:rsid w:val="00ED71A7"/>
    <w:rsid w:val="00EE7814"/>
    <w:rsid w:val="00EF0432"/>
    <w:rsid w:val="00EF4530"/>
    <w:rsid w:val="00F071BC"/>
    <w:rsid w:val="00F24047"/>
    <w:rsid w:val="00F83234"/>
    <w:rsid w:val="00F873B7"/>
    <w:rsid w:val="00F87D44"/>
    <w:rsid w:val="00FA63C1"/>
    <w:rsid w:val="00FA76C6"/>
    <w:rsid w:val="00FB0187"/>
    <w:rsid w:val="00FB090A"/>
    <w:rsid w:val="00FB2B8B"/>
    <w:rsid w:val="00FD1437"/>
    <w:rsid w:val="00FD2534"/>
    <w:rsid w:val="00FE41FD"/>
    <w:rsid w:val="00FF3A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6AEC0"/>
  <w15:chartTrackingRefBased/>
  <w15:docId w15:val="{5DBC79A2-DDD1-7B47-900E-E6E45B3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0DC7"/>
    <w:pPr>
      <w:keepNext/>
      <w:keepLines/>
      <w:spacing w:before="240"/>
      <w:outlineLvl w:val="0"/>
    </w:pPr>
    <w:rPr>
      <w:rFonts w:asciiTheme="majorHAnsi" w:eastAsiaTheme="majorEastAsia" w:hAnsiTheme="majorHAnsi" w:cstheme="majorBidi"/>
      <w:b/>
      <w:color w:val="2F5496" w:themeColor="accent1" w:themeShade="BF"/>
      <w:szCs w:val="32"/>
    </w:rPr>
  </w:style>
  <w:style w:type="paragraph" w:styleId="Ttulo2">
    <w:name w:val="heading 2"/>
    <w:basedOn w:val="Normal"/>
    <w:next w:val="Normal"/>
    <w:link w:val="Ttulo2Car"/>
    <w:uiPriority w:val="9"/>
    <w:unhideWhenUsed/>
    <w:qFormat/>
    <w:rsid w:val="00B952E8"/>
    <w:pPr>
      <w:keepNext/>
      <w:keepLines/>
      <w:spacing w:before="40"/>
      <w:outlineLvl w:val="1"/>
    </w:pPr>
    <w:rPr>
      <w:rFonts w:asciiTheme="majorHAnsi" w:eastAsiaTheme="majorEastAsia" w:hAnsiTheme="majorHAnsi" w:cstheme="majorBidi"/>
      <w:b/>
      <w:color w:val="2F5496" w:themeColor="accent1" w:themeShade="BF"/>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D02"/>
    <w:pPr>
      <w:tabs>
        <w:tab w:val="center" w:pos="4419"/>
        <w:tab w:val="right" w:pos="8838"/>
      </w:tabs>
    </w:pPr>
  </w:style>
  <w:style w:type="character" w:customStyle="1" w:styleId="EncabezadoCar">
    <w:name w:val="Encabezado Car"/>
    <w:basedOn w:val="Fuentedeprrafopredeter"/>
    <w:link w:val="Encabezado"/>
    <w:uiPriority w:val="99"/>
    <w:rsid w:val="00911D02"/>
  </w:style>
  <w:style w:type="paragraph" w:styleId="Piedepgina">
    <w:name w:val="footer"/>
    <w:basedOn w:val="Normal"/>
    <w:link w:val="PiedepginaCar"/>
    <w:uiPriority w:val="99"/>
    <w:unhideWhenUsed/>
    <w:rsid w:val="00911D02"/>
    <w:pPr>
      <w:tabs>
        <w:tab w:val="center" w:pos="4419"/>
        <w:tab w:val="right" w:pos="8838"/>
      </w:tabs>
    </w:pPr>
  </w:style>
  <w:style w:type="character" w:customStyle="1" w:styleId="PiedepginaCar">
    <w:name w:val="Pie de página Car"/>
    <w:basedOn w:val="Fuentedeprrafopredeter"/>
    <w:link w:val="Piedepgina"/>
    <w:uiPriority w:val="99"/>
    <w:rsid w:val="00911D02"/>
  </w:style>
  <w:style w:type="paragraph" w:styleId="Prrafodelista">
    <w:name w:val="List Paragraph"/>
    <w:basedOn w:val="Normal"/>
    <w:link w:val="PrrafodelistaCar"/>
    <w:uiPriority w:val="34"/>
    <w:qFormat/>
    <w:rsid w:val="005171E6"/>
    <w:pPr>
      <w:spacing w:after="160" w:line="259" w:lineRule="auto"/>
      <w:ind w:left="720"/>
      <w:contextualSpacing/>
    </w:pPr>
    <w:rPr>
      <w:sz w:val="22"/>
      <w:szCs w:val="22"/>
      <w:lang w:val="es-ES"/>
    </w:rPr>
  </w:style>
  <w:style w:type="character" w:customStyle="1" w:styleId="Ttulo1Car">
    <w:name w:val="Título 1 Car"/>
    <w:basedOn w:val="Fuentedeprrafopredeter"/>
    <w:link w:val="Ttulo1"/>
    <w:uiPriority w:val="9"/>
    <w:rsid w:val="00530DC7"/>
    <w:rPr>
      <w:rFonts w:asciiTheme="majorHAnsi" w:eastAsiaTheme="majorEastAsia" w:hAnsiTheme="majorHAnsi" w:cstheme="majorBidi"/>
      <w:b/>
      <w:color w:val="2F5496" w:themeColor="accent1" w:themeShade="BF"/>
      <w:szCs w:val="32"/>
    </w:rPr>
  </w:style>
  <w:style w:type="character" w:customStyle="1" w:styleId="Ttulo2Car">
    <w:name w:val="Título 2 Car"/>
    <w:basedOn w:val="Fuentedeprrafopredeter"/>
    <w:link w:val="Ttulo2"/>
    <w:uiPriority w:val="9"/>
    <w:rsid w:val="00B952E8"/>
    <w:rPr>
      <w:rFonts w:asciiTheme="majorHAnsi" w:eastAsiaTheme="majorEastAsia" w:hAnsiTheme="majorHAnsi" w:cstheme="majorBidi"/>
      <w:b/>
      <w:color w:val="2F5496" w:themeColor="accent1" w:themeShade="BF"/>
      <w:sz w:val="22"/>
      <w:szCs w:val="26"/>
    </w:rPr>
  </w:style>
  <w:style w:type="table" w:styleId="Tablaconcuadrcula">
    <w:name w:val="Table Grid"/>
    <w:basedOn w:val="Tablanormal"/>
    <w:uiPriority w:val="39"/>
    <w:rsid w:val="00CD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139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rrafodelistaCar">
    <w:name w:val="Párrafo de lista Car"/>
    <w:link w:val="Prrafodelista"/>
    <w:uiPriority w:val="34"/>
    <w:locked/>
    <w:rsid w:val="00847D66"/>
    <w:rPr>
      <w:sz w:val="22"/>
      <w:szCs w:val="22"/>
      <w:lang w:val="es-ES"/>
    </w:rPr>
  </w:style>
  <w:style w:type="table" w:styleId="Tabladecuadrcula5oscura-nfasis1">
    <w:name w:val="Grid Table 5 Dark Accent 1"/>
    <w:basedOn w:val="Tablanormal"/>
    <w:uiPriority w:val="50"/>
    <w:rsid w:val="00911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4-nfasis5">
    <w:name w:val="Grid Table 4 Accent 5"/>
    <w:basedOn w:val="Tablanormal"/>
    <w:uiPriority w:val="49"/>
    <w:rsid w:val="0091152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tuloTDC">
    <w:name w:val="TOC Heading"/>
    <w:basedOn w:val="Ttulo1"/>
    <w:next w:val="Normal"/>
    <w:uiPriority w:val="39"/>
    <w:unhideWhenUsed/>
    <w:qFormat/>
    <w:rsid w:val="006E0A53"/>
    <w:pPr>
      <w:spacing w:line="259" w:lineRule="auto"/>
      <w:outlineLvl w:val="9"/>
    </w:pPr>
    <w:rPr>
      <w:b w:val="0"/>
      <w:sz w:val="32"/>
      <w:lang w:eastAsia="es-EC"/>
    </w:rPr>
  </w:style>
  <w:style w:type="paragraph" w:styleId="TDC1">
    <w:name w:val="toc 1"/>
    <w:basedOn w:val="Normal"/>
    <w:next w:val="Normal"/>
    <w:autoRedefine/>
    <w:uiPriority w:val="39"/>
    <w:unhideWhenUsed/>
    <w:rsid w:val="006E0A53"/>
    <w:pPr>
      <w:spacing w:after="100"/>
    </w:pPr>
  </w:style>
  <w:style w:type="paragraph" w:styleId="TDC2">
    <w:name w:val="toc 2"/>
    <w:basedOn w:val="Normal"/>
    <w:next w:val="Normal"/>
    <w:autoRedefine/>
    <w:uiPriority w:val="39"/>
    <w:unhideWhenUsed/>
    <w:rsid w:val="006E0A53"/>
    <w:pPr>
      <w:spacing w:after="100"/>
      <w:ind w:left="240"/>
    </w:pPr>
  </w:style>
  <w:style w:type="character" w:styleId="Hipervnculo">
    <w:name w:val="Hyperlink"/>
    <w:basedOn w:val="Fuentedeprrafopredeter"/>
    <w:uiPriority w:val="99"/>
    <w:unhideWhenUsed/>
    <w:rsid w:val="006E0A53"/>
    <w:rPr>
      <w:color w:val="0563C1" w:themeColor="hyperlink"/>
      <w:u w:val="single"/>
    </w:rPr>
  </w:style>
  <w:style w:type="table" w:customStyle="1" w:styleId="3">
    <w:name w:val="3"/>
    <w:basedOn w:val="Tablanormal"/>
    <w:rsid w:val="000B0168"/>
    <w:rPr>
      <w:rFonts w:ascii="Calibri" w:eastAsia="Calibri" w:hAnsi="Calibri" w:cs="Calibri"/>
      <w:color w:val="31849B"/>
      <w:lang w:val="es-ES_tradnl" w:eastAsia="es-EC"/>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195">
      <w:bodyDiv w:val="1"/>
      <w:marLeft w:val="0"/>
      <w:marRight w:val="0"/>
      <w:marTop w:val="0"/>
      <w:marBottom w:val="0"/>
      <w:divBdr>
        <w:top w:val="none" w:sz="0" w:space="0" w:color="auto"/>
        <w:left w:val="none" w:sz="0" w:space="0" w:color="auto"/>
        <w:bottom w:val="none" w:sz="0" w:space="0" w:color="auto"/>
        <w:right w:val="none" w:sz="0" w:space="0" w:color="auto"/>
      </w:divBdr>
      <w:divsChild>
        <w:div w:id="436367516">
          <w:marLeft w:val="1166"/>
          <w:marRight w:val="0"/>
          <w:marTop w:val="0"/>
          <w:marBottom w:val="0"/>
          <w:divBdr>
            <w:top w:val="none" w:sz="0" w:space="0" w:color="auto"/>
            <w:left w:val="none" w:sz="0" w:space="0" w:color="auto"/>
            <w:bottom w:val="none" w:sz="0" w:space="0" w:color="auto"/>
            <w:right w:val="none" w:sz="0" w:space="0" w:color="auto"/>
          </w:divBdr>
        </w:div>
        <w:div w:id="425156630">
          <w:marLeft w:val="1166"/>
          <w:marRight w:val="0"/>
          <w:marTop w:val="0"/>
          <w:marBottom w:val="0"/>
          <w:divBdr>
            <w:top w:val="none" w:sz="0" w:space="0" w:color="auto"/>
            <w:left w:val="none" w:sz="0" w:space="0" w:color="auto"/>
            <w:bottom w:val="none" w:sz="0" w:space="0" w:color="auto"/>
            <w:right w:val="none" w:sz="0" w:space="0" w:color="auto"/>
          </w:divBdr>
        </w:div>
        <w:div w:id="1940411020">
          <w:marLeft w:val="1166"/>
          <w:marRight w:val="0"/>
          <w:marTop w:val="0"/>
          <w:marBottom w:val="0"/>
          <w:divBdr>
            <w:top w:val="none" w:sz="0" w:space="0" w:color="auto"/>
            <w:left w:val="none" w:sz="0" w:space="0" w:color="auto"/>
            <w:bottom w:val="none" w:sz="0" w:space="0" w:color="auto"/>
            <w:right w:val="none" w:sz="0" w:space="0" w:color="auto"/>
          </w:divBdr>
        </w:div>
        <w:div w:id="2126921782">
          <w:marLeft w:val="1166"/>
          <w:marRight w:val="0"/>
          <w:marTop w:val="0"/>
          <w:marBottom w:val="0"/>
          <w:divBdr>
            <w:top w:val="none" w:sz="0" w:space="0" w:color="auto"/>
            <w:left w:val="none" w:sz="0" w:space="0" w:color="auto"/>
            <w:bottom w:val="none" w:sz="0" w:space="0" w:color="auto"/>
            <w:right w:val="none" w:sz="0" w:space="0" w:color="auto"/>
          </w:divBdr>
        </w:div>
        <w:div w:id="1883905026">
          <w:marLeft w:val="1166"/>
          <w:marRight w:val="0"/>
          <w:marTop w:val="0"/>
          <w:marBottom w:val="0"/>
          <w:divBdr>
            <w:top w:val="none" w:sz="0" w:space="0" w:color="auto"/>
            <w:left w:val="none" w:sz="0" w:space="0" w:color="auto"/>
            <w:bottom w:val="none" w:sz="0" w:space="0" w:color="auto"/>
            <w:right w:val="none" w:sz="0" w:space="0" w:color="auto"/>
          </w:divBdr>
        </w:div>
      </w:divsChild>
    </w:div>
    <w:div w:id="554201779">
      <w:bodyDiv w:val="1"/>
      <w:marLeft w:val="0"/>
      <w:marRight w:val="0"/>
      <w:marTop w:val="0"/>
      <w:marBottom w:val="0"/>
      <w:divBdr>
        <w:top w:val="none" w:sz="0" w:space="0" w:color="auto"/>
        <w:left w:val="none" w:sz="0" w:space="0" w:color="auto"/>
        <w:bottom w:val="none" w:sz="0" w:space="0" w:color="auto"/>
        <w:right w:val="none" w:sz="0" w:space="0" w:color="auto"/>
      </w:divBdr>
    </w:div>
    <w:div w:id="822700332">
      <w:bodyDiv w:val="1"/>
      <w:marLeft w:val="0"/>
      <w:marRight w:val="0"/>
      <w:marTop w:val="0"/>
      <w:marBottom w:val="0"/>
      <w:divBdr>
        <w:top w:val="none" w:sz="0" w:space="0" w:color="auto"/>
        <w:left w:val="none" w:sz="0" w:space="0" w:color="auto"/>
        <w:bottom w:val="none" w:sz="0" w:space="0" w:color="auto"/>
        <w:right w:val="none" w:sz="0" w:space="0" w:color="auto"/>
      </w:divBdr>
    </w:div>
    <w:div w:id="993070025">
      <w:bodyDiv w:val="1"/>
      <w:marLeft w:val="0"/>
      <w:marRight w:val="0"/>
      <w:marTop w:val="0"/>
      <w:marBottom w:val="0"/>
      <w:divBdr>
        <w:top w:val="none" w:sz="0" w:space="0" w:color="auto"/>
        <w:left w:val="none" w:sz="0" w:space="0" w:color="auto"/>
        <w:bottom w:val="none" w:sz="0" w:space="0" w:color="auto"/>
        <w:right w:val="none" w:sz="0" w:space="0" w:color="auto"/>
      </w:divBdr>
    </w:div>
    <w:div w:id="1156993136">
      <w:bodyDiv w:val="1"/>
      <w:marLeft w:val="0"/>
      <w:marRight w:val="0"/>
      <w:marTop w:val="0"/>
      <w:marBottom w:val="0"/>
      <w:divBdr>
        <w:top w:val="none" w:sz="0" w:space="0" w:color="auto"/>
        <w:left w:val="none" w:sz="0" w:space="0" w:color="auto"/>
        <w:bottom w:val="none" w:sz="0" w:space="0" w:color="auto"/>
        <w:right w:val="none" w:sz="0" w:space="0" w:color="auto"/>
      </w:divBdr>
      <w:divsChild>
        <w:div w:id="1080754351">
          <w:marLeft w:val="274"/>
          <w:marRight w:val="0"/>
          <w:marTop w:val="0"/>
          <w:marBottom w:val="120"/>
          <w:divBdr>
            <w:top w:val="none" w:sz="0" w:space="0" w:color="auto"/>
            <w:left w:val="none" w:sz="0" w:space="0" w:color="auto"/>
            <w:bottom w:val="none" w:sz="0" w:space="0" w:color="auto"/>
            <w:right w:val="none" w:sz="0" w:space="0" w:color="auto"/>
          </w:divBdr>
        </w:div>
      </w:divsChild>
    </w:div>
    <w:div w:id="1648782775">
      <w:bodyDiv w:val="1"/>
      <w:marLeft w:val="0"/>
      <w:marRight w:val="0"/>
      <w:marTop w:val="0"/>
      <w:marBottom w:val="0"/>
      <w:divBdr>
        <w:top w:val="none" w:sz="0" w:space="0" w:color="auto"/>
        <w:left w:val="none" w:sz="0" w:space="0" w:color="auto"/>
        <w:bottom w:val="none" w:sz="0" w:space="0" w:color="auto"/>
        <w:right w:val="none" w:sz="0" w:space="0" w:color="auto"/>
      </w:divBdr>
      <w:divsChild>
        <w:div w:id="769854248">
          <w:marLeft w:val="1181"/>
          <w:marRight w:val="0"/>
          <w:marTop w:val="0"/>
          <w:marBottom w:val="0"/>
          <w:divBdr>
            <w:top w:val="none" w:sz="0" w:space="0" w:color="auto"/>
            <w:left w:val="none" w:sz="0" w:space="0" w:color="auto"/>
            <w:bottom w:val="none" w:sz="0" w:space="0" w:color="auto"/>
            <w:right w:val="none" w:sz="0" w:space="0" w:color="auto"/>
          </w:divBdr>
        </w:div>
        <w:div w:id="1868716770">
          <w:marLeft w:val="1181"/>
          <w:marRight w:val="0"/>
          <w:marTop w:val="0"/>
          <w:marBottom w:val="0"/>
          <w:divBdr>
            <w:top w:val="none" w:sz="0" w:space="0" w:color="auto"/>
            <w:left w:val="none" w:sz="0" w:space="0" w:color="auto"/>
            <w:bottom w:val="none" w:sz="0" w:space="0" w:color="auto"/>
            <w:right w:val="none" w:sz="0" w:space="0" w:color="auto"/>
          </w:divBdr>
        </w:div>
        <w:div w:id="1512988024">
          <w:marLeft w:val="1181"/>
          <w:marRight w:val="0"/>
          <w:marTop w:val="0"/>
          <w:marBottom w:val="0"/>
          <w:divBdr>
            <w:top w:val="none" w:sz="0" w:space="0" w:color="auto"/>
            <w:left w:val="none" w:sz="0" w:space="0" w:color="auto"/>
            <w:bottom w:val="none" w:sz="0" w:space="0" w:color="auto"/>
            <w:right w:val="none" w:sz="0" w:space="0" w:color="auto"/>
          </w:divBdr>
        </w:div>
        <w:div w:id="1306396926">
          <w:marLeft w:val="1181"/>
          <w:marRight w:val="0"/>
          <w:marTop w:val="0"/>
          <w:marBottom w:val="0"/>
          <w:divBdr>
            <w:top w:val="none" w:sz="0" w:space="0" w:color="auto"/>
            <w:left w:val="none" w:sz="0" w:space="0" w:color="auto"/>
            <w:bottom w:val="none" w:sz="0" w:space="0" w:color="auto"/>
            <w:right w:val="none" w:sz="0" w:space="0" w:color="auto"/>
          </w:divBdr>
        </w:div>
        <w:div w:id="1942449856">
          <w:marLeft w:val="1181"/>
          <w:marRight w:val="0"/>
          <w:marTop w:val="0"/>
          <w:marBottom w:val="200"/>
          <w:divBdr>
            <w:top w:val="none" w:sz="0" w:space="0" w:color="auto"/>
            <w:left w:val="none" w:sz="0" w:space="0" w:color="auto"/>
            <w:bottom w:val="none" w:sz="0" w:space="0" w:color="auto"/>
            <w:right w:val="none" w:sz="0" w:space="0" w:color="auto"/>
          </w:divBdr>
        </w:div>
        <w:div w:id="1533028863">
          <w:marLeft w:val="1181"/>
          <w:marRight w:val="0"/>
          <w:marTop w:val="0"/>
          <w:marBottom w:val="200"/>
          <w:divBdr>
            <w:top w:val="none" w:sz="0" w:space="0" w:color="auto"/>
            <w:left w:val="none" w:sz="0" w:space="0" w:color="auto"/>
            <w:bottom w:val="none" w:sz="0" w:space="0" w:color="auto"/>
            <w:right w:val="none" w:sz="0" w:space="0" w:color="auto"/>
          </w:divBdr>
        </w:div>
        <w:div w:id="1118791055">
          <w:marLeft w:val="1181"/>
          <w:marRight w:val="0"/>
          <w:marTop w:val="0"/>
          <w:marBottom w:val="200"/>
          <w:divBdr>
            <w:top w:val="none" w:sz="0" w:space="0" w:color="auto"/>
            <w:left w:val="none" w:sz="0" w:space="0" w:color="auto"/>
            <w:bottom w:val="none" w:sz="0" w:space="0" w:color="auto"/>
            <w:right w:val="none" w:sz="0" w:space="0" w:color="auto"/>
          </w:divBdr>
        </w:div>
        <w:div w:id="2101944582">
          <w:marLeft w:val="1181"/>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2EBF-7CBB-491E-8654-02D26FD6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4451</Words>
  <Characters>24485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Yesenia Bucheli Torres</cp:lastModifiedBy>
  <cp:revision>3</cp:revision>
  <dcterms:created xsi:type="dcterms:W3CDTF">2024-05-15T17:32:00Z</dcterms:created>
  <dcterms:modified xsi:type="dcterms:W3CDTF">2024-05-15T17:42:00Z</dcterms:modified>
</cp:coreProperties>
</file>